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5AE17A" w14:textId="77777777" w:rsidR="0067210B" w:rsidRDefault="0067210B" w:rsidP="0067210B">
      <w:pPr>
        <w:pStyle w:val="Title"/>
        <w:spacing w:before="2400"/>
      </w:pPr>
      <w:bookmarkStart w:id="0" w:name="_Toc456780805"/>
      <w:r>
        <w:t>LBNL Test Facility Dipole Project</w:t>
      </w:r>
    </w:p>
    <w:p w14:paraId="001E74C0" w14:textId="77777777" w:rsidR="00E1664C" w:rsidRDefault="0067210B" w:rsidP="0067210B">
      <w:pPr>
        <w:pStyle w:val="Title"/>
      </w:pPr>
      <w:r>
        <w:t>Wire Specification</w:t>
      </w:r>
    </w:p>
    <w:p w14:paraId="598A2C40" w14:textId="629DADB0" w:rsidR="0067210B" w:rsidRDefault="00E1664C" w:rsidP="0067210B">
      <w:pPr>
        <w:pStyle w:val="Title"/>
      </w:pPr>
      <w:r>
        <w:t>For the Production Cables</w:t>
      </w:r>
    </w:p>
    <w:p w14:paraId="1873D4DD" w14:textId="77777777" w:rsidR="00E1664C" w:rsidRPr="00E1664C" w:rsidRDefault="00E1664C" w:rsidP="00E1664C"/>
    <w:p w14:paraId="1869D358" w14:textId="6BEA671C" w:rsidR="000475D9" w:rsidRDefault="000475D9" w:rsidP="00AB7164">
      <w:pPr>
        <w:pStyle w:val="SpecAuthor"/>
        <w:spacing w:before="1200"/>
      </w:pPr>
    </w:p>
    <w:tbl>
      <w:tblPr>
        <w:tblW w:w="8071"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77"/>
        <w:gridCol w:w="2694"/>
      </w:tblGrid>
      <w:tr w:rsidR="000475D9" w14:paraId="6B2C2F9E" w14:textId="77777777" w:rsidTr="00327ECF">
        <w:trPr>
          <w:trHeight w:val="480"/>
        </w:trPr>
        <w:tc>
          <w:tcPr>
            <w:tcW w:w="5377" w:type="dxa"/>
            <w:tcBorders>
              <w:top w:val="single" w:sz="4" w:space="0" w:color="auto"/>
              <w:left w:val="single" w:sz="4" w:space="0" w:color="auto"/>
              <w:bottom w:val="single" w:sz="4" w:space="0" w:color="auto"/>
              <w:right w:val="single" w:sz="4" w:space="0" w:color="auto"/>
            </w:tcBorders>
          </w:tcPr>
          <w:p w14:paraId="2EDD8FFE" w14:textId="77777777" w:rsidR="000475D9" w:rsidRDefault="000475D9" w:rsidP="00327ECF">
            <w:pPr>
              <w:spacing w:after="0"/>
              <w:rPr>
                <w:b/>
                <w:bCs/>
                <w:sz w:val="20"/>
              </w:rPr>
            </w:pPr>
            <w:r w:rsidRPr="00A53AF4">
              <w:rPr>
                <w:b/>
                <w:bCs/>
                <w:sz w:val="20"/>
              </w:rPr>
              <w:t>Prepared by:</w:t>
            </w:r>
          </w:p>
          <w:p w14:paraId="04E9BF85" w14:textId="77777777" w:rsidR="000475D9" w:rsidRPr="00CB5E8B" w:rsidRDefault="000475D9" w:rsidP="00327ECF">
            <w:pPr>
              <w:spacing w:after="0"/>
              <w:rPr>
                <w:sz w:val="20"/>
              </w:rPr>
            </w:pPr>
            <w:r w:rsidRPr="00CB5E8B">
              <w:rPr>
                <w:sz w:val="20"/>
              </w:rPr>
              <w:t>Ian Pong</w:t>
            </w:r>
          </w:p>
        </w:tc>
        <w:tc>
          <w:tcPr>
            <w:tcW w:w="2694" w:type="dxa"/>
            <w:tcBorders>
              <w:bottom w:val="single" w:sz="4" w:space="0" w:color="auto"/>
            </w:tcBorders>
          </w:tcPr>
          <w:p w14:paraId="1665064B" w14:textId="77777777" w:rsidR="000475D9" w:rsidRPr="00A53AF4" w:rsidRDefault="000475D9" w:rsidP="00327ECF">
            <w:pPr>
              <w:spacing w:after="0"/>
              <w:rPr>
                <w:b/>
                <w:bCs/>
                <w:sz w:val="20"/>
              </w:rPr>
            </w:pPr>
            <w:r w:rsidRPr="00A53AF4">
              <w:rPr>
                <w:b/>
                <w:bCs/>
                <w:sz w:val="20"/>
              </w:rPr>
              <w:t>Contact</w:t>
            </w:r>
          </w:p>
          <w:p w14:paraId="3CAF2ED5" w14:textId="2CBBDD3B" w:rsidR="000475D9" w:rsidRPr="00A53AF4" w:rsidRDefault="009935F4" w:rsidP="00327ECF">
            <w:pPr>
              <w:spacing w:after="0"/>
              <w:rPr>
                <w:sz w:val="20"/>
              </w:rPr>
            </w:pPr>
            <w:hyperlink r:id="rId6" w:history="1">
              <w:r w:rsidR="003F4971" w:rsidRPr="00CC02DB">
                <w:rPr>
                  <w:rStyle w:val="Hyperlink"/>
                  <w:sz w:val="20"/>
                </w:rPr>
                <w:t>ipong@lbl.gov</w:t>
              </w:r>
            </w:hyperlink>
          </w:p>
          <w:p w14:paraId="27A47513" w14:textId="77777777" w:rsidR="000475D9" w:rsidRPr="00A53AF4" w:rsidRDefault="000475D9" w:rsidP="00327ECF">
            <w:pPr>
              <w:spacing w:after="0"/>
              <w:rPr>
                <w:sz w:val="20"/>
              </w:rPr>
            </w:pPr>
            <w:r>
              <w:rPr>
                <w:sz w:val="20"/>
              </w:rPr>
              <w:t>(510) 486</w:t>
            </w:r>
            <w:r>
              <w:rPr>
                <w:sz w:val="20"/>
              </w:rPr>
              <w:noBreakHyphen/>
              <w:t>7866</w:t>
            </w:r>
          </w:p>
        </w:tc>
      </w:tr>
      <w:tr w:rsidR="003F4971" w14:paraId="6C1004AC" w14:textId="77777777" w:rsidTr="00327ECF">
        <w:trPr>
          <w:trHeight w:val="480"/>
        </w:trPr>
        <w:tc>
          <w:tcPr>
            <w:tcW w:w="5377" w:type="dxa"/>
            <w:tcBorders>
              <w:top w:val="single" w:sz="4" w:space="0" w:color="auto"/>
              <w:left w:val="single" w:sz="4" w:space="0" w:color="auto"/>
              <w:bottom w:val="single" w:sz="4" w:space="0" w:color="auto"/>
              <w:right w:val="single" w:sz="4" w:space="0" w:color="auto"/>
            </w:tcBorders>
          </w:tcPr>
          <w:p w14:paraId="3750ADB3" w14:textId="77777777" w:rsidR="003F4971" w:rsidRDefault="003F4971" w:rsidP="003F4971">
            <w:pPr>
              <w:spacing w:after="0"/>
              <w:rPr>
                <w:sz w:val="20"/>
              </w:rPr>
            </w:pPr>
            <w:r>
              <w:rPr>
                <w:b/>
                <w:bCs/>
                <w:sz w:val="20"/>
              </w:rPr>
              <w:t>Reviewed</w:t>
            </w:r>
            <w:r w:rsidRPr="00A53AF4">
              <w:rPr>
                <w:b/>
                <w:bCs/>
                <w:sz w:val="20"/>
              </w:rPr>
              <w:t xml:space="preserve"> by:</w:t>
            </w:r>
          </w:p>
          <w:p w14:paraId="2D247323" w14:textId="77777777" w:rsidR="003F4971" w:rsidRDefault="003F4971" w:rsidP="003F4971">
            <w:pPr>
              <w:spacing w:after="0"/>
              <w:rPr>
                <w:sz w:val="20"/>
              </w:rPr>
            </w:pPr>
            <w:r>
              <w:rPr>
                <w:sz w:val="20"/>
              </w:rPr>
              <w:t>Diego Arbelaez</w:t>
            </w:r>
            <w:r w:rsidRPr="00A53AF4">
              <w:rPr>
                <w:sz w:val="20"/>
              </w:rPr>
              <w:t xml:space="preserve"> </w:t>
            </w:r>
          </w:p>
          <w:p w14:paraId="6A61C7A6" w14:textId="77777777" w:rsidR="003F4971" w:rsidRDefault="003F4971" w:rsidP="003F4971">
            <w:pPr>
              <w:spacing w:after="0"/>
              <w:rPr>
                <w:sz w:val="20"/>
              </w:rPr>
            </w:pPr>
          </w:p>
          <w:p w14:paraId="2E84A932" w14:textId="77777777" w:rsidR="003F4971" w:rsidRDefault="003F4971" w:rsidP="003F4971">
            <w:pPr>
              <w:spacing w:after="0"/>
              <w:rPr>
                <w:sz w:val="20"/>
              </w:rPr>
            </w:pPr>
            <w:r>
              <w:rPr>
                <w:sz w:val="20"/>
              </w:rPr>
              <w:t>Paolo Ferracin</w:t>
            </w:r>
          </w:p>
          <w:p w14:paraId="0055703E" w14:textId="77777777" w:rsidR="001B3399" w:rsidRDefault="001B3399" w:rsidP="003F4971">
            <w:pPr>
              <w:spacing w:after="0"/>
              <w:rPr>
                <w:sz w:val="20"/>
              </w:rPr>
            </w:pPr>
          </w:p>
          <w:p w14:paraId="35E40F21" w14:textId="77777777" w:rsidR="001B3399" w:rsidRDefault="001B3399" w:rsidP="003F4971">
            <w:pPr>
              <w:spacing w:after="0"/>
              <w:rPr>
                <w:sz w:val="20"/>
              </w:rPr>
            </w:pPr>
            <w:r>
              <w:rPr>
                <w:sz w:val="20"/>
              </w:rPr>
              <w:t>GianLuca Sabbi</w:t>
            </w:r>
          </w:p>
          <w:p w14:paraId="3D5DB324" w14:textId="2E2E00DE" w:rsidR="001B3399" w:rsidRPr="00A53AF4" w:rsidRDefault="001B3399" w:rsidP="003F4971">
            <w:pPr>
              <w:spacing w:after="0"/>
              <w:rPr>
                <w:sz w:val="20"/>
              </w:rPr>
            </w:pPr>
          </w:p>
        </w:tc>
        <w:tc>
          <w:tcPr>
            <w:tcW w:w="2694" w:type="dxa"/>
            <w:tcBorders>
              <w:bottom w:val="single" w:sz="4" w:space="0" w:color="auto"/>
            </w:tcBorders>
          </w:tcPr>
          <w:p w14:paraId="2EAF98B1" w14:textId="77777777" w:rsidR="003F4971" w:rsidRPr="00A53AF4" w:rsidRDefault="003F4971" w:rsidP="003F4971">
            <w:pPr>
              <w:spacing w:after="0"/>
              <w:rPr>
                <w:b/>
                <w:bCs/>
                <w:sz w:val="20"/>
              </w:rPr>
            </w:pPr>
            <w:r w:rsidRPr="00A53AF4">
              <w:rPr>
                <w:b/>
                <w:bCs/>
                <w:sz w:val="20"/>
              </w:rPr>
              <w:t>Contact</w:t>
            </w:r>
          </w:p>
          <w:p w14:paraId="218194EC" w14:textId="77777777" w:rsidR="003F4971" w:rsidRPr="00A53AF4" w:rsidRDefault="009935F4" w:rsidP="003F4971">
            <w:pPr>
              <w:spacing w:after="0"/>
              <w:rPr>
                <w:sz w:val="20"/>
              </w:rPr>
            </w:pPr>
            <w:hyperlink r:id="rId7" w:history="1">
              <w:r w:rsidR="003F4971" w:rsidRPr="00091CD6">
                <w:rPr>
                  <w:rStyle w:val="Hyperlink"/>
                  <w:sz w:val="20"/>
                </w:rPr>
                <w:t>darbelaez@lbl.gov</w:t>
              </w:r>
            </w:hyperlink>
            <w:r w:rsidR="003F4971">
              <w:rPr>
                <w:sz w:val="20"/>
              </w:rPr>
              <w:t xml:space="preserve"> </w:t>
            </w:r>
          </w:p>
          <w:p w14:paraId="033AD451" w14:textId="77777777" w:rsidR="003F4971" w:rsidRDefault="003F4971" w:rsidP="003F4971">
            <w:pPr>
              <w:spacing w:after="0"/>
              <w:rPr>
                <w:sz w:val="20"/>
              </w:rPr>
            </w:pPr>
            <w:r>
              <w:rPr>
                <w:sz w:val="20"/>
              </w:rPr>
              <w:t>(510) 486</w:t>
            </w:r>
            <w:r>
              <w:rPr>
                <w:sz w:val="20"/>
              </w:rPr>
              <w:noBreakHyphen/>
              <w:t>6081</w:t>
            </w:r>
          </w:p>
          <w:p w14:paraId="02EFCBD8" w14:textId="77777777" w:rsidR="003F4971" w:rsidRDefault="009935F4" w:rsidP="003F4971">
            <w:pPr>
              <w:spacing w:after="0"/>
              <w:rPr>
                <w:sz w:val="20"/>
              </w:rPr>
            </w:pPr>
            <w:hyperlink r:id="rId8" w:history="1">
              <w:r w:rsidR="003F4971" w:rsidRPr="00091CD6">
                <w:rPr>
                  <w:rStyle w:val="Hyperlink"/>
                  <w:sz w:val="20"/>
                </w:rPr>
                <w:t>PFerracin@lbl.gov</w:t>
              </w:r>
            </w:hyperlink>
          </w:p>
          <w:p w14:paraId="7252FA6E" w14:textId="77777777" w:rsidR="003F4971" w:rsidRDefault="003F4971" w:rsidP="003F4971">
            <w:pPr>
              <w:spacing w:after="0"/>
              <w:rPr>
                <w:sz w:val="20"/>
              </w:rPr>
            </w:pPr>
            <w:r>
              <w:rPr>
                <w:sz w:val="20"/>
              </w:rPr>
              <w:t>(</w:t>
            </w:r>
            <w:r w:rsidRPr="00170F35">
              <w:rPr>
                <w:sz w:val="20"/>
              </w:rPr>
              <w:t>510</w:t>
            </w:r>
            <w:r>
              <w:rPr>
                <w:sz w:val="20"/>
              </w:rPr>
              <w:t xml:space="preserve">) </w:t>
            </w:r>
            <w:r w:rsidRPr="00170F35">
              <w:rPr>
                <w:sz w:val="20"/>
              </w:rPr>
              <w:t>486-4630</w:t>
            </w:r>
          </w:p>
          <w:p w14:paraId="5F29072E" w14:textId="78B91839" w:rsidR="001B3399" w:rsidRDefault="009935F4" w:rsidP="003F4971">
            <w:pPr>
              <w:spacing w:after="0"/>
              <w:rPr>
                <w:sz w:val="20"/>
              </w:rPr>
            </w:pPr>
            <w:hyperlink r:id="rId9" w:history="1">
              <w:r w:rsidR="001B3399" w:rsidRPr="00EE6D0C">
                <w:rPr>
                  <w:rStyle w:val="Hyperlink"/>
                  <w:sz w:val="20"/>
                </w:rPr>
                <w:t>GLSabbi@lbl.gov</w:t>
              </w:r>
            </w:hyperlink>
          </w:p>
          <w:p w14:paraId="69BF5440" w14:textId="647BC781" w:rsidR="001B3399" w:rsidRPr="00A53AF4" w:rsidRDefault="001B3399" w:rsidP="003F4971">
            <w:pPr>
              <w:spacing w:after="0"/>
              <w:rPr>
                <w:sz w:val="20"/>
              </w:rPr>
            </w:pPr>
            <w:r>
              <w:rPr>
                <w:sz w:val="20"/>
              </w:rPr>
              <w:t>(510) 495-2250</w:t>
            </w:r>
          </w:p>
        </w:tc>
      </w:tr>
      <w:tr w:rsidR="000475D9" w14:paraId="6795765B" w14:textId="77777777" w:rsidTr="00327ECF">
        <w:trPr>
          <w:trHeight w:val="480"/>
        </w:trPr>
        <w:tc>
          <w:tcPr>
            <w:tcW w:w="5377" w:type="dxa"/>
            <w:tcBorders>
              <w:top w:val="single" w:sz="4" w:space="0" w:color="auto"/>
              <w:left w:val="single" w:sz="4" w:space="0" w:color="auto"/>
              <w:bottom w:val="single" w:sz="4" w:space="0" w:color="auto"/>
              <w:right w:val="single" w:sz="4" w:space="0" w:color="auto"/>
            </w:tcBorders>
          </w:tcPr>
          <w:p w14:paraId="3D902A21" w14:textId="77777777" w:rsidR="000475D9" w:rsidRDefault="000475D9" w:rsidP="00327ECF">
            <w:pPr>
              <w:spacing w:after="0"/>
              <w:rPr>
                <w:sz w:val="20"/>
                <w:u w:val="single"/>
              </w:rPr>
            </w:pPr>
            <w:r>
              <w:rPr>
                <w:b/>
                <w:bCs/>
                <w:sz w:val="20"/>
              </w:rPr>
              <w:t>Approved</w:t>
            </w:r>
            <w:r w:rsidRPr="00A53AF4">
              <w:rPr>
                <w:b/>
                <w:bCs/>
                <w:sz w:val="20"/>
              </w:rPr>
              <w:t xml:space="preserve"> by:</w:t>
            </w:r>
          </w:p>
          <w:p w14:paraId="5EAD0057" w14:textId="62E0C894" w:rsidR="000475D9" w:rsidRPr="00CB5E8B" w:rsidRDefault="001B3399" w:rsidP="00327ECF">
            <w:pPr>
              <w:spacing w:after="0"/>
              <w:rPr>
                <w:bCs/>
                <w:sz w:val="20"/>
              </w:rPr>
            </w:pPr>
            <w:r>
              <w:rPr>
                <w:bCs/>
                <w:sz w:val="20"/>
              </w:rPr>
              <w:t>Soren Prestemon</w:t>
            </w:r>
          </w:p>
        </w:tc>
        <w:tc>
          <w:tcPr>
            <w:tcW w:w="2694" w:type="dxa"/>
            <w:tcBorders>
              <w:top w:val="single" w:sz="4" w:space="0" w:color="auto"/>
              <w:left w:val="single" w:sz="4" w:space="0" w:color="auto"/>
              <w:bottom w:val="single" w:sz="4" w:space="0" w:color="auto"/>
              <w:right w:val="single" w:sz="4" w:space="0" w:color="auto"/>
            </w:tcBorders>
          </w:tcPr>
          <w:p w14:paraId="2DF2E6F8" w14:textId="77777777" w:rsidR="000475D9" w:rsidRPr="00A53AF4" w:rsidRDefault="000475D9" w:rsidP="00327ECF">
            <w:pPr>
              <w:spacing w:after="0"/>
              <w:rPr>
                <w:b/>
                <w:bCs/>
                <w:sz w:val="20"/>
              </w:rPr>
            </w:pPr>
            <w:r w:rsidRPr="00A53AF4">
              <w:rPr>
                <w:b/>
                <w:bCs/>
                <w:sz w:val="20"/>
              </w:rPr>
              <w:t>Contact</w:t>
            </w:r>
          </w:p>
          <w:p w14:paraId="5A937802" w14:textId="506FCB3C" w:rsidR="000475D9" w:rsidRPr="00A53AF4" w:rsidRDefault="009935F4" w:rsidP="00327ECF">
            <w:pPr>
              <w:spacing w:after="0"/>
              <w:rPr>
                <w:bCs/>
                <w:sz w:val="20"/>
              </w:rPr>
            </w:pPr>
            <w:hyperlink r:id="rId10" w:history="1">
              <w:r w:rsidR="001B3399">
                <w:rPr>
                  <w:rStyle w:val="Hyperlink"/>
                  <w:bCs/>
                  <w:sz w:val="20"/>
                </w:rPr>
                <w:t>SOPrestemon@lbl.gov</w:t>
              </w:r>
            </w:hyperlink>
          </w:p>
          <w:p w14:paraId="666FBC3E" w14:textId="244B7456" w:rsidR="000475D9" w:rsidRPr="00A53AF4" w:rsidRDefault="000475D9" w:rsidP="00327ECF">
            <w:pPr>
              <w:spacing w:after="0"/>
              <w:rPr>
                <w:b/>
                <w:bCs/>
                <w:sz w:val="20"/>
              </w:rPr>
            </w:pPr>
            <w:r w:rsidRPr="00A53AF4">
              <w:rPr>
                <w:bCs/>
                <w:sz w:val="20"/>
              </w:rPr>
              <w:t>(</w:t>
            </w:r>
            <w:r>
              <w:rPr>
                <w:bCs/>
                <w:sz w:val="20"/>
              </w:rPr>
              <w:t>510</w:t>
            </w:r>
            <w:r w:rsidRPr="00A53AF4">
              <w:rPr>
                <w:bCs/>
                <w:sz w:val="20"/>
              </w:rPr>
              <w:t xml:space="preserve">) </w:t>
            </w:r>
            <w:r w:rsidR="001B3399">
              <w:rPr>
                <w:bCs/>
                <w:sz w:val="20"/>
              </w:rPr>
              <w:t>486-6054</w:t>
            </w:r>
          </w:p>
        </w:tc>
      </w:tr>
    </w:tbl>
    <w:p w14:paraId="5F17B723" w14:textId="14CFDAB7" w:rsidR="005179A2" w:rsidRDefault="005179A2" w:rsidP="005179A2">
      <w:pPr>
        <w:spacing w:before="840"/>
        <w:jc w:val="center"/>
        <w:rPr>
          <w:b/>
          <w:u w:val="single"/>
        </w:rPr>
      </w:pPr>
      <w:r>
        <w:rPr>
          <w:b/>
          <w:u w:val="single"/>
        </w:rPr>
        <w:lastRenderedPageBreak/>
        <w:t>Revision History</w:t>
      </w:r>
    </w:p>
    <w:p w14:paraId="2BD9AD41" w14:textId="77777777" w:rsidR="005179A2" w:rsidRDefault="005179A2" w:rsidP="005179A2">
      <w:pPr>
        <w:rPr>
          <w:u w:val="single"/>
        </w:rPr>
      </w:pPr>
    </w:p>
    <w:tbl>
      <w:tblPr>
        <w:tblW w:w="864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620" w:firstRow="1" w:lastRow="0" w:firstColumn="0" w:lastColumn="0" w:noHBand="1" w:noVBand="1"/>
      </w:tblPr>
      <w:tblGrid>
        <w:gridCol w:w="1152"/>
        <w:gridCol w:w="1440"/>
        <w:gridCol w:w="3210"/>
        <w:gridCol w:w="1686"/>
        <w:gridCol w:w="1152"/>
      </w:tblGrid>
      <w:tr w:rsidR="005179A2" w14:paraId="78FBBE63" w14:textId="77777777" w:rsidTr="00327ECF">
        <w:tc>
          <w:tcPr>
            <w:tcW w:w="1152" w:type="dxa"/>
            <w:tcBorders>
              <w:top w:val="single" w:sz="8" w:space="0" w:color="auto"/>
              <w:left w:val="single" w:sz="8" w:space="0" w:color="auto"/>
              <w:bottom w:val="single" w:sz="8" w:space="0" w:color="auto"/>
              <w:right w:val="single" w:sz="8" w:space="0" w:color="auto"/>
            </w:tcBorders>
            <w:hideMark/>
          </w:tcPr>
          <w:p w14:paraId="58D873E6" w14:textId="77777777" w:rsidR="005179A2" w:rsidRDefault="005179A2" w:rsidP="00327ECF">
            <w:pPr>
              <w:spacing w:after="0" w:line="256" w:lineRule="auto"/>
              <w:jc w:val="center"/>
              <w:rPr>
                <w:b/>
                <w:sz w:val="20"/>
              </w:rPr>
            </w:pPr>
            <w:r>
              <w:rPr>
                <w:b/>
                <w:sz w:val="20"/>
              </w:rPr>
              <w:t>Rev.</w:t>
            </w:r>
          </w:p>
        </w:tc>
        <w:tc>
          <w:tcPr>
            <w:tcW w:w="1440" w:type="dxa"/>
            <w:tcBorders>
              <w:top w:val="single" w:sz="8" w:space="0" w:color="auto"/>
              <w:left w:val="single" w:sz="8" w:space="0" w:color="auto"/>
              <w:bottom w:val="single" w:sz="8" w:space="0" w:color="auto"/>
              <w:right w:val="single" w:sz="8" w:space="0" w:color="auto"/>
            </w:tcBorders>
            <w:hideMark/>
          </w:tcPr>
          <w:p w14:paraId="02E31DDE" w14:textId="77777777" w:rsidR="005179A2" w:rsidRDefault="005179A2" w:rsidP="00327ECF">
            <w:pPr>
              <w:spacing w:after="0" w:line="256" w:lineRule="auto"/>
              <w:jc w:val="center"/>
              <w:rPr>
                <w:b/>
                <w:sz w:val="20"/>
              </w:rPr>
            </w:pPr>
            <w:r>
              <w:rPr>
                <w:b/>
                <w:sz w:val="20"/>
              </w:rPr>
              <w:t>Date</w:t>
            </w:r>
          </w:p>
        </w:tc>
        <w:tc>
          <w:tcPr>
            <w:tcW w:w="3210" w:type="dxa"/>
            <w:tcBorders>
              <w:top w:val="single" w:sz="8" w:space="0" w:color="auto"/>
              <w:left w:val="single" w:sz="8" w:space="0" w:color="auto"/>
              <w:bottom w:val="single" w:sz="8" w:space="0" w:color="auto"/>
              <w:right w:val="single" w:sz="8" w:space="0" w:color="auto"/>
            </w:tcBorders>
            <w:hideMark/>
          </w:tcPr>
          <w:p w14:paraId="5DFD82EC" w14:textId="77777777" w:rsidR="005179A2" w:rsidRDefault="005179A2" w:rsidP="00327ECF">
            <w:pPr>
              <w:spacing w:after="0" w:line="256" w:lineRule="auto"/>
              <w:jc w:val="center"/>
              <w:rPr>
                <w:b/>
                <w:sz w:val="20"/>
              </w:rPr>
            </w:pPr>
            <w:r>
              <w:rPr>
                <w:b/>
                <w:sz w:val="20"/>
              </w:rPr>
              <w:t>Description</w:t>
            </w:r>
          </w:p>
        </w:tc>
        <w:tc>
          <w:tcPr>
            <w:tcW w:w="1686" w:type="dxa"/>
            <w:tcBorders>
              <w:top w:val="single" w:sz="8" w:space="0" w:color="auto"/>
              <w:left w:val="single" w:sz="8" w:space="0" w:color="auto"/>
              <w:bottom w:val="single" w:sz="8" w:space="0" w:color="auto"/>
              <w:right w:val="single" w:sz="8" w:space="0" w:color="auto"/>
            </w:tcBorders>
            <w:hideMark/>
          </w:tcPr>
          <w:p w14:paraId="61947732" w14:textId="77777777" w:rsidR="005179A2" w:rsidRDefault="005179A2" w:rsidP="00327ECF">
            <w:pPr>
              <w:spacing w:after="0" w:line="256" w:lineRule="auto"/>
              <w:jc w:val="center"/>
              <w:rPr>
                <w:b/>
                <w:sz w:val="20"/>
              </w:rPr>
            </w:pPr>
            <w:r>
              <w:rPr>
                <w:b/>
                <w:sz w:val="20"/>
              </w:rPr>
              <w:t>Section</w:t>
            </w:r>
          </w:p>
        </w:tc>
        <w:tc>
          <w:tcPr>
            <w:tcW w:w="1152" w:type="dxa"/>
            <w:tcBorders>
              <w:top w:val="single" w:sz="8" w:space="0" w:color="auto"/>
              <w:left w:val="single" w:sz="8" w:space="0" w:color="auto"/>
              <w:bottom w:val="single" w:sz="8" w:space="0" w:color="auto"/>
              <w:right w:val="single" w:sz="8" w:space="0" w:color="auto"/>
            </w:tcBorders>
            <w:hideMark/>
          </w:tcPr>
          <w:p w14:paraId="17AD9361" w14:textId="77777777" w:rsidR="005179A2" w:rsidRDefault="005179A2" w:rsidP="00327ECF">
            <w:pPr>
              <w:spacing w:after="0" w:line="256" w:lineRule="auto"/>
              <w:jc w:val="center"/>
              <w:rPr>
                <w:b/>
                <w:sz w:val="20"/>
              </w:rPr>
            </w:pPr>
            <w:r>
              <w:rPr>
                <w:b/>
                <w:sz w:val="20"/>
              </w:rPr>
              <w:t>Author</w:t>
            </w:r>
          </w:p>
        </w:tc>
      </w:tr>
      <w:tr w:rsidR="005179A2" w14:paraId="0CE6EB0C" w14:textId="77777777" w:rsidTr="00327ECF">
        <w:tc>
          <w:tcPr>
            <w:tcW w:w="1152" w:type="dxa"/>
            <w:tcBorders>
              <w:top w:val="single" w:sz="8" w:space="0" w:color="auto"/>
              <w:left w:val="single" w:sz="8" w:space="0" w:color="auto"/>
              <w:bottom w:val="single" w:sz="8" w:space="0" w:color="auto"/>
              <w:right w:val="single" w:sz="8" w:space="0" w:color="auto"/>
            </w:tcBorders>
            <w:hideMark/>
          </w:tcPr>
          <w:p w14:paraId="6CC3C71C" w14:textId="7B2AF2C7" w:rsidR="005179A2" w:rsidRDefault="009935F4" w:rsidP="00327ECF">
            <w:pPr>
              <w:spacing w:after="0" w:line="256" w:lineRule="auto"/>
              <w:rPr>
                <w:sz w:val="20"/>
              </w:rPr>
            </w:pPr>
            <w:r>
              <w:rPr>
                <w:sz w:val="20"/>
              </w:rPr>
              <w:t>v</w:t>
            </w:r>
            <w:r w:rsidR="002C26A4">
              <w:rPr>
                <w:sz w:val="20"/>
              </w:rPr>
              <w:t>1</w:t>
            </w:r>
          </w:p>
        </w:tc>
        <w:tc>
          <w:tcPr>
            <w:tcW w:w="1440" w:type="dxa"/>
            <w:tcBorders>
              <w:top w:val="single" w:sz="8" w:space="0" w:color="auto"/>
              <w:left w:val="single" w:sz="8" w:space="0" w:color="auto"/>
              <w:bottom w:val="single" w:sz="8" w:space="0" w:color="auto"/>
              <w:right w:val="single" w:sz="8" w:space="0" w:color="auto"/>
            </w:tcBorders>
            <w:hideMark/>
          </w:tcPr>
          <w:p w14:paraId="2DBA73C9" w14:textId="0EE40BE0" w:rsidR="005179A2" w:rsidRDefault="005179A2" w:rsidP="00327ECF">
            <w:pPr>
              <w:spacing w:after="0" w:line="256" w:lineRule="auto"/>
              <w:rPr>
                <w:sz w:val="20"/>
              </w:rPr>
            </w:pPr>
            <w:r>
              <w:rPr>
                <w:sz w:val="20"/>
              </w:rPr>
              <w:t>202</w:t>
            </w:r>
            <w:r w:rsidR="00E1664C">
              <w:rPr>
                <w:sz w:val="20"/>
              </w:rPr>
              <w:t>1</w:t>
            </w:r>
            <w:r>
              <w:rPr>
                <w:sz w:val="20"/>
              </w:rPr>
              <w:t xml:space="preserve"> 0</w:t>
            </w:r>
            <w:r w:rsidR="00E1664C">
              <w:rPr>
                <w:sz w:val="20"/>
              </w:rPr>
              <w:t>5</w:t>
            </w:r>
            <w:r>
              <w:rPr>
                <w:sz w:val="20"/>
              </w:rPr>
              <w:t xml:space="preserve"> 0</w:t>
            </w:r>
            <w:r w:rsidR="002C26A4">
              <w:rPr>
                <w:sz w:val="20"/>
              </w:rPr>
              <w:t>7</w:t>
            </w:r>
          </w:p>
        </w:tc>
        <w:tc>
          <w:tcPr>
            <w:tcW w:w="3210" w:type="dxa"/>
            <w:tcBorders>
              <w:top w:val="single" w:sz="8" w:space="0" w:color="auto"/>
              <w:left w:val="single" w:sz="8" w:space="0" w:color="auto"/>
              <w:bottom w:val="single" w:sz="8" w:space="0" w:color="auto"/>
              <w:right w:val="single" w:sz="8" w:space="0" w:color="auto"/>
            </w:tcBorders>
            <w:hideMark/>
          </w:tcPr>
          <w:p w14:paraId="64F8AE2C" w14:textId="561D1F10" w:rsidR="005179A2" w:rsidRDefault="005179A2" w:rsidP="00327ECF">
            <w:pPr>
              <w:spacing w:after="0" w:line="256" w:lineRule="auto"/>
              <w:rPr>
                <w:sz w:val="20"/>
              </w:rPr>
            </w:pPr>
            <w:r>
              <w:rPr>
                <w:sz w:val="20"/>
              </w:rPr>
              <w:t xml:space="preserve">Original draft – adopted from </w:t>
            </w:r>
            <w:r w:rsidR="00973114">
              <w:rPr>
                <w:sz w:val="20"/>
              </w:rPr>
              <w:t>TFD prototype cable spec</w:t>
            </w:r>
          </w:p>
        </w:tc>
        <w:tc>
          <w:tcPr>
            <w:tcW w:w="1686" w:type="dxa"/>
            <w:tcBorders>
              <w:top w:val="single" w:sz="8" w:space="0" w:color="auto"/>
              <w:left w:val="single" w:sz="8" w:space="0" w:color="auto"/>
              <w:bottom w:val="single" w:sz="8" w:space="0" w:color="auto"/>
              <w:right w:val="single" w:sz="8" w:space="0" w:color="auto"/>
            </w:tcBorders>
            <w:hideMark/>
          </w:tcPr>
          <w:p w14:paraId="333ECB1E" w14:textId="77777777" w:rsidR="005179A2" w:rsidRDefault="005179A2" w:rsidP="00327ECF">
            <w:pPr>
              <w:spacing w:after="0" w:line="256" w:lineRule="auto"/>
              <w:rPr>
                <w:sz w:val="20"/>
              </w:rPr>
            </w:pPr>
            <w:r>
              <w:rPr>
                <w:sz w:val="20"/>
              </w:rPr>
              <w:t>All</w:t>
            </w:r>
          </w:p>
        </w:tc>
        <w:tc>
          <w:tcPr>
            <w:tcW w:w="1152" w:type="dxa"/>
            <w:tcBorders>
              <w:top w:val="single" w:sz="8" w:space="0" w:color="auto"/>
              <w:left w:val="single" w:sz="8" w:space="0" w:color="auto"/>
              <w:bottom w:val="single" w:sz="8" w:space="0" w:color="auto"/>
              <w:right w:val="single" w:sz="8" w:space="0" w:color="auto"/>
            </w:tcBorders>
            <w:hideMark/>
          </w:tcPr>
          <w:p w14:paraId="0B02FE6A" w14:textId="77777777" w:rsidR="005179A2" w:rsidRDefault="005179A2" w:rsidP="00327ECF">
            <w:pPr>
              <w:spacing w:after="0" w:line="256" w:lineRule="auto"/>
              <w:rPr>
                <w:sz w:val="20"/>
              </w:rPr>
            </w:pPr>
            <w:r>
              <w:rPr>
                <w:sz w:val="20"/>
              </w:rPr>
              <w:t>I. Pong</w:t>
            </w:r>
          </w:p>
        </w:tc>
      </w:tr>
      <w:tr w:rsidR="009935F4" w14:paraId="3BB767E5" w14:textId="77777777" w:rsidTr="00327ECF">
        <w:tc>
          <w:tcPr>
            <w:tcW w:w="1152" w:type="dxa"/>
            <w:tcBorders>
              <w:top w:val="single" w:sz="8" w:space="0" w:color="auto"/>
              <w:left w:val="single" w:sz="8" w:space="0" w:color="auto"/>
              <w:bottom w:val="single" w:sz="8" w:space="0" w:color="auto"/>
              <w:right w:val="single" w:sz="8" w:space="0" w:color="auto"/>
            </w:tcBorders>
          </w:tcPr>
          <w:p w14:paraId="656081C5" w14:textId="32D88CAE" w:rsidR="009935F4" w:rsidRDefault="009935F4" w:rsidP="00327ECF">
            <w:pPr>
              <w:spacing w:after="0" w:line="256" w:lineRule="auto"/>
              <w:rPr>
                <w:sz w:val="20"/>
              </w:rPr>
            </w:pPr>
            <w:r>
              <w:rPr>
                <w:sz w:val="20"/>
              </w:rPr>
              <w:t>v1.1</w:t>
            </w:r>
          </w:p>
        </w:tc>
        <w:tc>
          <w:tcPr>
            <w:tcW w:w="1440" w:type="dxa"/>
            <w:tcBorders>
              <w:top w:val="single" w:sz="8" w:space="0" w:color="auto"/>
              <w:left w:val="single" w:sz="8" w:space="0" w:color="auto"/>
              <w:bottom w:val="single" w:sz="8" w:space="0" w:color="auto"/>
              <w:right w:val="single" w:sz="8" w:space="0" w:color="auto"/>
            </w:tcBorders>
          </w:tcPr>
          <w:p w14:paraId="425F46D2" w14:textId="77814980" w:rsidR="009935F4" w:rsidRDefault="009935F4" w:rsidP="00327ECF">
            <w:pPr>
              <w:spacing w:after="0" w:line="256" w:lineRule="auto"/>
              <w:rPr>
                <w:sz w:val="20"/>
              </w:rPr>
            </w:pPr>
            <w:r>
              <w:rPr>
                <w:sz w:val="20"/>
              </w:rPr>
              <w:t>2021 05 24</w:t>
            </w:r>
          </w:p>
        </w:tc>
        <w:tc>
          <w:tcPr>
            <w:tcW w:w="3210" w:type="dxa"/>
            <w:tcBorders>
              <w:top w:val="single" w:sz="8" w:space="0" w:color="auto"/>
              <w:left w:val="single" w:sz="8" w:space="0" w:color="auto"/>
              <w:bottom w:val="single" w:sz="8" w:space="0" w:color="auto"/>
              <w:right w:val="single" w:sz="8" w:space="0" w:color="auto"/>
            </w:tcBorders>
          </w:tcPr>
          <w:p w14:paraId="607C187D" w14:textId="77777777" w:rsidR="009935F4" w:rsidRDefault="009935F4" w:rsidP="00327ECF">
            <w:pPr>
              <w:spacing w:after="0" w:line="256" w:lineRule="auto"/>
              <w:rPr>
                <w:sz w:val="20"/>
              </w:rPr>
            </w:pPr>
            <w:r>
              <w:rPr>
                <w:sz w:val="20"/>
              </w:rPr>
              <w:t>Approver</w:t>
            </w:r>
          </w:p>
          <w:p w14:paraId="5C2CC17A" w14:textId="502A6459" w:rsidR="009935F4" w:rsidRDefault="009935F4" w:rsidP="00327ECF">
            <w:pPr>
              <w:spacing w:after="0" w:line="256" w:lineRule="auto"/>
              <w:rPr>
                <w:sz w:val="20"/>
              </w:rPr>
            </w:pPr>
            <w:r>
              <w:rPr>
                <w:sz w:val="20"/>
              </w:rPr>
              <w:t>Length of strand pieces</w:t>
            </w:r>
          </w:p>
        </w:tc>
        <w:tc>
          <w:tcPr>
            <w:tcW w:w="1686" w:type="dxa"/>
            <w:tcBorders>
              <w:top w:val="single" w:sz="8" w:space="0" w:color="auto"/>
              <w:left w:val="single" w:sz="8" w:space="0" w:color="auto"/>
              <w:bottom w:val="single" w:sz="8" w:space="0" w:color="auto"/>
              <w:right w:val="single" w:sz="8" w:space="0" w:color="auto"/>
            </w:tcBorders>
          </w:tcPr>
          <w:p w14:paraId="2F0A26B6" w14:textId="77777777" w:rsidR="009935F4" w:rsidRDefault="009935F4" w:rsidP="00327ECF">
            <w:pPr>
              <w:spacing w:after="0" w:line="256" w:lineRule="auto"/>
              <w:rPr>
                <w:sz w:val="20"/>
              </w:rPr>
            </w:pPr>
          </w:p>
          <w:p w14:paraId="3C074155" w14:textId="300B25BB" w:rsidR="009935F4" w:rsidRDefault="009935F4" w:rsidP="00327ECF">
            <w:pPr>
              <w:spacing w:after="0" w:line="256" w:lineRule="auto"/>
              <w:rPr>
                <w:sz w:val="20"/>
              </w:rPr>
            </w:pPr>
            <w:r>
              <w:rPr>
                <w:sz w:val="20"/>
              </w:rPr>
              <w:t>5.6.1</w:t>
            </w:r>
          </w:p>
        </w:tc>
        <w:tc>
          <w:tcPr>
            <w:tcW w:w="1152" w:type="dxa"/>
            <w:tcBorders>
              <w:top w:val="single" w:sz="8" w:space="0" w:color="auto"/>
              <w:left w:val="single" w:sz="8" w:space="0" w:color="auto"/>
              <w:bottom w:val="single" w:sz="8" w:space="0" w:color="auto"/>
              <w:right w:val="single" w:sz="8" w:space="0" w:color="auto"/>
            </w:tcBorders>
          </w:tcPr>
          <w:p w14:paraId="7D6235D0" w14:textId="35FD23F6" w:rsidR="009935F4" w:rsidRDefault="009935F4" w:rsidP="00327ECF">
            <w:pPr>
              <w:spacing w:after="0" w:line="256" w:lineRule="auto"/>
              <w:rPr>
                <w:sz w:val="20"/>
              </w:rPr>
            </w:pPr>
            <w:r>
              <w:rPr>
                <w:sz w:val="20"/>
              </w:rPr>
              <w:t>I. Pong</w:t>
            </w:r>
          </w:p>
        </w:tc>
      </w:tr>
    </w:tbl>
    <w:p w14:paraId="11D3EA3A" w14:textId="77777777" w:rsidR="005179A2" w:rsidRDefault="005179A2" w:rsidP="005179A2"/>
    <w:p w14:paraId="09CD75C3" w14:textId="77777777" w:rsidR="005179A2" w:rsidRDefault="005179A2" w:rsidP="005179A2">
      <w:pPr>
        <w:spacing w:after="160" w:line="259" w:lineRule="auto"/>
        <w:jc w:val="left"/>
      </w:pPr>
      <w:r>
        <w:br w:type="page"/>
      </w:r>
    </w:p>
    <w:p w14:paraId="4E2ED2F4" w14:textId="77777777" w:rsidR="0067210B" w:rsidRDefault="0067210B" w:rsidP="0067210B"/>
    <w:p w14:paraId="7FD33FCE" w14:textId="476E6ED4" w:rsidR="0067210B" w:rsidRPr="00A723DA" w:rsidRDefault="0067210B" w:rsidP="0067210B">
      <w:pPr>
        <w:pStyle w:val="Heading1"/>
      </w:pPr>
      <w:r>
        <w:t>SCOPE</w:t>
      </w:r>
      <w:bookmarkEnd w:id="0"/>
    </w:p>
    <w:p w14:paraId="6643BF30" w14:textId="4297FCA2" w:rsidR="0067210B" w:rsidRPr="001D7380" w:rsidRDefault="0067210B" w:rsidP="0067210B">
      <w:r w:rsidRPr="001D7380">
        <w:t xml:space="preserve">The </w:t>
      </w:r>
      <w:r>
        <w:t xml:space="preserve">objective </w:t>
      </w:r>
      <w:r w:rsidRPr="001D7380">
        <w:t>of th</w:t>
      </w:r>
      <w:r w:rsidR="00620251">
        <w:t>is</w:t>
      </w:r>
      <w:r w:rsidRPr="001D7380">
        <w:t xml:space="preserve"> </w:t>
      </w:r>
      <w:r>
        <w:t xml:space="preserve">specification is the </w:t>
      </w:r>
      <w:r w:rsidR="00D94216">
        <w:t>acquisition</w:t>
      </w:r>
      <w:r w:rsidRPr="001D7380">
        <w:t xml:space="preserve"> </w:t>
      </w:r>
      <w:r>
        <w:t xml:space="preserve">of long </w:t>
      </w:r>
      <w:r w:rsidRPr="001D7380">
        <w:t xml:space="preserve">lengths of </w:t>
      </w:r>
      <w:r w:rsidR="00620251">
        <w:t>super</w:t>
      </w:r>
      <w:r>
        <w:t>conduct</w:t>
      </w:r>
      <w:r w:rsidR="00620251">
        <w:t>ing wire</w:t>
      </w:r>
      <w:r>
        <w:t xml:space="preserve"> </w:t>
      </w:r>
      <w:r w:rsidRPr="001D7380">
        <w:t>with uniform properties</w:t>
      </w:r>
      <w:r>
        <w:t xml:space="preserve"> </w:t>
      </w:r>
      <w:r w:rsidR="00D94216">
        <w:t>for the Test Facility Dipole</w:t>
      </w:r>
      <w:r w:rsidRPr="001D7380">
        <w:t xml:space="preserve"> </w:t>
      </w:r>
      <w:r w:rsidR="001D0DA4">
        <w:t xml:space="preserve">(TFD) </w:t>
      </w:r>
      <w:r w:rsidR="00E1664C">
        <w:t xml:space="preserve">production and spare </w:t>
      </w:r>
      <w:r w:rsidR="001D0DA4">
        <w:t>coil</w:t>
      </w:r>
      <w:r w:rsidR="00E1664C">
        <w:t>s</w:t>
      </w:r>
      <w:r w:rsidRPr="001D7380">
        <w:t xml:space="preserve">. Property uniformity along the continuous strand length from any billet, as well as </w:t>
      </w:r>
      <w:r>
        <w:t xml:space="preserve">consistency of properties across </w:t>
      </w:r>
      <w:r w:rsidRPr="001D7380">
        <w:t>different billets</w:t>
      </w:r>
      <w:r>
        <w:t xml:space="preserve">, </w:t>
      </w:r>
      <w:r w:rsidRPr="001D7380">
        <w:t xml:space="preserve">thus directly relates to performance and uniformity of </w:t>
      </w:r>
      <w:r w:rsidR="00620251">
        <w:t xml:space="preserve">the </w:t>
      </w:r>
      <w:r w:rsidRPr="001D7380">
        <w:t xml:space="preserve">cable.  </w:t>
      </w:r>
      <w:r>
        <w:t xml:space="preserve">Margin for degradation during cable </w:t>
      </w:r>
      <w:r w:rsidR="001D0DA4">
        <w:t>fabrication</w:t>
      </w:r>
      <w:r>
        <w:t xml:space="preserve"> and other losses are accounted for by the specified parameters</w:t>
      </w:r>
      <w:r w:rsidR="004A4A2A">
        <w:t>.</w:t>
      </w:r>
      <w:r w:rsidRPr="001D7380">
        <w:t xml:space="preserve"> The strand procurement </w:t>
      </w:r>
      <w:r>
        <w:t xml:space="preserve">seeks characteristics in manufactured </w:t>
      </w:r>
      <w:r w:rsidRPr="001D7380">
        <w:t>Nb</w:t>
      </w:r>
      <w:r w:rsidRPr="001D7380">
        <w:rPr>
          <w:vertAlign w:val="subscript"/>
        </w:rPr>
        <w:t>3</w:t>
      </w:r>
      <w:r>
        <w:t xml:space="preserve">Sn composite superconducting strands that exemplify the best present state of the art. </w:t>
      </w:r>
    </w:p>
    <w:p w14:paraId="500A904B" w14:textId="77777777" w:rsidR="0067210B" w:rsidRPr="001D7380" w:rsidRDefault="0067210B" w:rsidP="0067210B">
      <w:pPr>
        <w:pStyle w:val="Heading1"/>
      </w:pPr>
      <w:bookmarkStart w:id="1" w:name="_Toc456780806"/>
      <w:r>
        <w:t>APPLICABLE DOCUMENTS</w:t>
      </w:r>
      <w:bookmarkEnd w:id="1"/>
    </w:p>
    <w:p w14:paraId="404E70C0" w14:textId="77777777" w:rsidR="0067210B" w:rsidRPr="001D7380" w:rsidRDefault="0067210B" w:rsidP="0067210B">
      <w:pPr>
        <w:rPr>
          <w:u w:val="single"/>
        </w:rPr>
      </w:pPr>
      <w:r w:rsidRPr="001D7380">
        <w:t>The following documents apply to this specification.  The document version in effect on the date of invitation to quote shall be the version in force for the purposes of defining and complying with this specification.</w:t>
      </w:r>
    </w:p>
    <w:p w14:paraId="00D4D931" w14:textId="5E360E00" w:rsidR="0067210B" w:rsidRDefault="001D0DA4" w:rsidP="0067210B">
      <w:pPr>
        <w:pStyle w:val="ListParagraph"/>
        <w:numPr>
          <w:ilvl w:val="0"/>
          <w:numId w:val="4"/>
        </w:numPr>
        <w:ind w:left="936" w:hanging="576"/>
        <w:outlineLvl w:val="9"/>
      </w:pPr>
      <w:bookmarkStart w:id="2" w:name="_Ref410050489"/>
      <w:bookmarkStart w:id="3" w:name="_Ref410129130"/>
      <w:bookmarkStart w:id="4" w:name="_Ref410143189"/>
      <w:bookmarkStart w:id="5" w:name="_Ref410143422"/>
      <w:bookmarkStart w:id="6" w:name="_Toc410208909"/>
      <w:bookmarkStart w:id="7" w:name="_Toc410209089"/>
      <w:bookmarkStart w:id="8" w:name="_Ref414633400"/>
      <w:r>
        <w:rPr>
          <w:i/>
        </w:rPr>
        <w:t xml:space="preserve">TFD </w:t>
      </w:r>
      <w:r w:rsidR="0067210B" w:rsidRPr="00F41982">
        <w:rPr>
          <w:i/>
        </w:rPr>
        <w:t>Material Naming Scheme</w:t>
      </w:r>
      <w:bookmarkEnd w:id="2"/>
      <w:bookmarkEnd w:id="3"/>
      <w:bookmarkEnd w:id="4"/>
      <w:bookmarkEnd w:id="5"/>
      <w:bookmarkEnd w:id="6"/>
      <w:bookmarkEnd w:id="7"/>
      <w:bookmarkEnd w:id="8"/>
    </w:p>
    <w:p w14:paraId="1C21434E" w14:textId="77777777" w:rsidR="0067210B" w:rsidRPr="00150887" w:rsidRDefault="0067210B" w:rsidP="0067210B">
      <w:pPr>
        <w:pStyle w:val="ListParagraph"/>
        <w:numPr>
          <w:ilvl w:val="0"/>
          <w:numId w:val="4"/>
        </w:numPr>
        <w:ind w:left="936" w:hanging="576"/>
        <w:outlineLvl w:val="9"/>
        <w:rPr>
          <w:i/>
        </w:rPr>
      </w:pPr>
      <w:bookmarkStart w:id="9" w:name="_Ref410050540"/>
      <w:bookmarkStart w:id="10" w:name="_Ref410050560"/>
      <w:bookmarkStart w:id="11" w:name="_Toc410208911"/>
      <w:bookmarkStart w:id="12" w:name="_Toc410209091"/>
      <w:r w:rsidRPr="001D7380">
        <w:t>International Standard IEC 61788-2:</w:t>
      </w:r>
      <w:r>
        <w:t xml:space="preserve"> </w:t>
      </w:r>
      <w:r w:rsidRPr="00150887">
        <w:rPr>
          <w:i/>
        </w:rPr>
        <w:t>DC critical current of Nb</w:t>
      </w:r>
      <w:r w:rsidRPr="00150887">
        <w:rPr>
          <w:i/>
          <w:vertAlign w:val="subscript"/>
        </w:rPr>
        <w:t>3</w:t>
      </w:r>
      <w:r w:rsidRPr="00150887">
        <w:rPr>
          <w:i/>
        </w:rPr>
        <w:t>Sn composite superconductors</w:t>
      </w:r>
      <w:bookmarkEnd w:id="9"/>
      <w:bookmarkEnd w:id="10"/>
      <w:bookmarkEnd w:id="11"/>
      <w:bookmarkEnd w:id="12"/>
    </w:p>
    <w:p w14:paraId="431FD8D1" w14:textId="77777777" w:rsidR="0067210B" w:rsidRPr="001D7380" w:rsidRDefault="0067210B" w:rsidP="0067210B">
      <w:pPr>
        <w:pStyle w:val="ListParagraph"/>
        <w:numPr>
          <w:ilvl w:val="0"/>
          <w:numId w:val="4"/>
        </w:numPr>
        <w:ind w:left="936" w:hanging="576"/>
        <w:outlineLvl w:val="9"/>
      </w:pPr>
      <w:bookmarkStart w:id="13" w:name="_Ref410050588"/>
      <w:bookmarkStart w:id="14" w:name="_Toc410208912"/>
      <w:bookmarkStart w:id="15" w:name="_Toc410209092"/>
      <w:r w:rsidRPr="001D7380">
        <w:t>International Standard IEC 61788-11:</w:t>
      </w:r>
      <w:r>
        <w:t xml:space="preserve"> </w:t>
      </w:r>
      <w:r w:rsidRPr="00150887">
        <w:rPr>
          <w:i/>
        </w:rPr>
        <w:t>Residual resistance ratio of Nb</w:t>
      </w:r>
      <w:r w:rsidRPr="00150887">
        <w:rPr>
          <w:i/>
          <w:vertAlign w:val="subscript"/>
        </w:rPr>
        <w:t>3</w:t>
      </w:r>
      <w:r w:rsidRPr="00150887">
        <w:rPr>
          <w:i/>
        </w:rPr>
        <w:t>Sn composite superconductors</w:t>
      </w:r>
      <w:bookmarkEnd w:id="13"/>
      <w:bookmarkEnd w:id="14"/>
      <w:bookmarkEnd w:id="15"/>
    </w:p>
    <w:p w14:paraId="37CDB470" w14:textId="77777777" w:rsidR="0067210B" w:rsidRPr="001D7380" w:rsidRDefault="0067210B" w:rsidP="0067210B">
      <w:pPr>
        <w:pStyle w:val="ListParagraph"/>
        <w:numPr>
          <w:ilvl w:val="0"/>
          <w:numId w:val="4"/>
        </w:numPr>
        <w:ind w:left="936" w:hanging="576"/>
        <w:outlineLvl w:val="9"/>
      </w:pPr>
      <w:bookmarkStart w:id="16" w:name="_Ref410050286"/>
      <w:bookmarkStart w:id="17" w:name="_Toc410208913"/>
      <w:bookmarkStart w:id="18" w:name="_Toc410209093"/>
      <w:r w:rsidRPr="001D7380">
        <w:t>International Standard IEC 61788-12:</w:t>
      </w:r>
      <w:r>
        <w:t xml:space="preserve"> </w:t>
      </w:r>
      <w:r w:rsidRPr="00150887">
        <w:rPr>
          <w:i/>
        </w:rPr>
        <w:t>Copper to non-copper volume ratio of Nb</w:t>
      </w:r>
      <w:r w:rsidRPr="00150887">
        <w:rPr>
          <w:i/>
          <w:vertAlign w:val="subscript"/>
        </w:rPr>
        <w:t>3</w:t>
      </w:r>
      <w:r w:rsidRPr="00150887">
        <w:rPr>
          <w:i/>
        </w:rPr>
        <w:t>Sn composite superconducting wires</w:t>
      </w:r>
      <w:bookmarkEnd w:id="16"/>
      <w:bookmarkEnd w:id="17"/>
      <w:bookmarkEnd w:id="18"/>
    </w:p>
    <w:p w14:paraId="698FFB0F" w14:textId="77777777" w:rsidR="0067210B" w:rsidRPr="001D7380" w:rsidRDefault="0067210B" w:rsidP="0067210B">
      <w:pPr>
        <w:pStyle w:val="ListParagraph"/>
        <w:numPr>
          <w:ilvl w:val="0"/>
          <w:numId w:val="4"/>
        </w:numPr>
        <w:ind w:left="936" w:hanging="576"/>
        <w:outlineLvl w:val="9"/>
      </w:pPr>
      <w:bookmarkStart w:id="19" w:name="_Ref410050411"/>
      <w:bookmarkStart w:id="20" w:name="_Toc410208914"/>
      <w:bookmarkStart w:id="21" w:name="_Toc410209094"/>
      <w:smartTag w:uri="urn:schemas-microsoft-com:office:smarttags" w:element="stockticker">
        <w:r w:rsidRPr="001D7380">
          <w:t>ASTM</w:t>
        </w:r>
      </w:smartTag>
      <w:r w:rsidRPr="001D7380">
        <w:t xml:space="preserve"> B170: </w:t>
      </w:r>
      <w:r w:rsidRPr="00150887">
        <w:rPr>
          <w:i/>
        </w:rPr>
        <w:t>Standard Specification for Oxygen-Free Electrolytic Copper—Refinery Shapes</w:t>
      </w:r>
      <w:bookmarkEnd w:id="19"/>
      <w:bookmarkEnd w:id="20"/>
      <w:bookmarkEnd w:id="21"/>
    </w:p>
    <w:p w14:paraId="539F6E80" w14:textId="77777777" w:rsidR="0067210B" w:rsidRPr="001D7380" w:rsidRDefault="0067210B" w:rsidP="0067210B">
      <w:pPr>
        <w:pStyle w:val="ListParagraph"/>
        <w:numPr>
          <w:ilvl w:val="0"/>
          <w:numId w:val="4"/>
        </w:numPr>
        <w:ind w:left="936" w:hanging="576"/>
        <w:outlineLvl w:val="9"/>
      </w:pPr>
      <w:bookmarkStart w:id="22" w:name="_Toc410208915"/>
      <w:bookmarkStart w:id="23" w:name="_Toc410209095"/>
      <w:bookmarkStart w:id="24" w:name="_Ref414633223"/>
      <w:bookmarkStart w:id="25" w:name="_Ref456706032"/>
      <w:bookmarkStart w:id="26" w:name="_Ref456776932"/>
      <w:r w:rsidRPr="001D7380">
        <w:t xml:space="preserve">ASTM B392: </w:t>
      </w:r>
      <w:r w:rsidRPr="00150887">
        <w:rPr>
          <w:i/>
        </w:rPr>
        <w:t>Standard Specification for Niobium and Niobium Alloy Bar, Rod, and Wire</w:t>
      </w:r>
      <w:bookmarkEnd w:id="22"/>
      <w:bookmarkEnd w:id="23"/>
      <w:bookmarkEnd w:id="24"/>
      <w:bookmarkEnd w:id="25"/>
      <w:bookmarkEnd w:id="26"/>
    </w:p>
    <w:p w14:paraId="265F0E9A" w14:textId="77777777" w:rsidR="0067210B" w:rsidRPr="001D7380" w:rsidRDefault="0067210B" w:rsidP="0067210B">
      <w:pPr>
        <w:pStyle w:val="ListParagraph"/>
        <w:numPr>
          <w:ilvl w:val="0"/>
          <w:numId w:val="4"/>
        </w:numPr>
        <w:ind w:left="936" w:hanging="576"/>
        <w:outlineLvl w:val="9"/>
      </w:pPr>
      <w:bookmarkStart w:id="27" w:name="_Toc410208916"/>
      <w:bookmarkStart w:id="28" w:name="_Toc410209096"/>
      <w:bookmarkStart w:id="29" w:name="_Ref414633114"/>
      <w:bookmarkStart w:id="30" w:name="_Ref456706034"/>
      <w:bookmarkStart w:id="31" w:name="_Ref456776948"/>
      <w:r w:rsidRPr="001D7380">
        <w:t>ASTM B39</w:t>
      </w:r>
      <w:r>
        <w:t>3</w:t>
      </w:r>
      <w:r w:rsidRPr="001D7380">
        <w:t xml:space="preserve">: </w:t>
      </w:r>
      <w:r w:rsidRPr="00150887">
        <w:rPr>
          <w:i/>
        </w:rPr>
        <w:t>Standard Specification for Niobium and Niobium Alloy Strip, Sheet, and Plate</w:t>
      </w:r>
      <w:bookmarkEnd w:id="27"/>
      <w:bookmarkEnd w:id="28"/>
      <w:bookmarkEnd w:id="29"/>
      <w:bookmarkEnd w:id="30"/>
      <w:bookmarkEnd w:id="31"/>
    </w:p>
    <w:p w14:paraId="27BFE537" w14:textId="77777777" w:rsidR="0067210B" w:rsidRPr="001D7380" w:rsidRDefault="0067210B" w:rsidP="0067210B">
      <w:pPr>
        <w:pStyle w:val="ListParagraph"/>
        <w:numPr>
          <w:ilvl w:val="0"/>
          <w:numId w:val="4"/>
        </w:numPr>
        <w:ind w:left="936" w:hanging="576"/>
        <w:outlineLvl w:val="9"/>
      </w:pPr>
      <w:bookmarkStart w:id="32" w:name="_Toc410208917"/>
      <w:bookmarkStart w:id="33" w:name="_Toc410209097"/>
      <w:bookmarkStart w:id="34" w:name="_Ref414633230"/>
      <w:r w:rsidRPr="001D7380">
        <w:t xml:space="preserve">ASTM B884: </w:t>
      </w:r>
      <w:r w:rsidRPr="00150887">
        <w:rPr>
          <w:i/>
        </w:rPr>
        <w:t>Standard Specification for Niobium-Titanium Alloy Billets, Bar, and Rod for Superconducting Applications</w:t>
      </w:r>
      <w:bookmarkEnd w:id="32"/>
      <w:bookmarkEnd w:id="33"/>
      <w:bookmarkEnd w:id="34"/>
      <w:r w:rsidRPr="00EF58DE">
        <w:t xml:space="preserve"> </w:t>
      </w:r>
    </w:p>
    <w:p w14:paraId="07C93C76" w14:textId="77777777" w:rsidR="0067210B" w:rsidRPr="00F41982" w:rsidRDefault="0067210B" w:rsidP="0067210B">
      <w:pPr>
        <w:pStyle w:val="ListParagraph"/>
        <w:numPr>
          <w:ilvl w:val="0"/>
          <w:numId w:val="4"/>
        </w:numPr>
        <w:ind w:left="936" w:hanging="576"/>
        <w:outlineLvl w:val="9"/>
        <w:rPr>
          <w:rFonts w:ascii="New York" w:hAnsi="New York"/>
          <w:szCs w:val="20"/>
        </w:rPr>
      </w:pPr>
      <w:bookmarkStart w:id="35" w:name="_Ref410050431"/>
      <w:bookmarkStart w:id="36" w:name="_Toc410208918"/>
      <w:bookmarkStart w:id="37" w:name="_Toc410209098"/>
      <w:r w:rsidRPr="001D7380">
        <w:t xml:space="preserve">ASTM F86: </w:t>
      </w:r>
      <w:r w:rsidRPr="00150887">
        <w:rPr>
          <w:i/>
        </w:rPr>
        <w:t>Standard Specification for Oxygen-Free Copper in Wrought Forms for Electron Devices</w:t>
      </w:r>
      <w:bookmarkEnd w:id="35"/>
      <w:bookmarkEnd w:id="36"/>
      <w:bookmarkEnd w:id="37"/>
      <w:r w:rsidRPr="001D7380">
        <w:t xml:space="preserve"> </w:t>
      </w:r>
    </w:p>
    <w:p w14:paraId="4E21274D" w14:textId="77777777" w:rsidR="0067210B" w:rsidRDefault="0067210B" w:rsidP="0067210B">
      <w:pPr>
        <w:pStyle w:val="Heading1"/>
      </w:pPr>
      <w:bookmarkStart w:id="38" w:name="_Toc410209107"/>
      <w:bookmarkStart w:id="39" w:name="_Toc456780807"/>
      <w:bookmarkStart w:id="40" w:name="_Toc410209099"/>
      <w:bookmarkStart w:id="41" w:name="_Ref405560491"/>
      <w:r w:rsidRPr="00303320">
        <w:t>NOMENCLATURE</w:t>
      </w:r>
      <w:bookmarkEnd w:id="38"/>
      <w:bookmarkEnd w:id="39"/>
    </w:p>
    <w:p w14:paraId="68ED83CC" w14:textId="77777777" w:rsidR="0067210B" w:rsidRPr="00636CF8" w:rsidRDefault="0067210B" w:rsidP="0067210B">
      <w:r>
        <w:t>This table defines acronyms listed in this document:</w:t>
      </w:r>
    </w:p>
    <w:tbl>
      <w:tblPr>
        <w:tblStyle w:val="LightShading"/>
        <w:tblW w:w="0" w:type="auto"/>
        <w:tblLook w:val="06A0" w:firstRow="1" w:lastRow="0" w:firstColumn="1" w:lastColumn="0" w:noHBand="1" w:noVBand="1"/>
      </w:tblPr>
      <w:tblGrid>
        <w:gridCol w:w="1323"/>
        <w:gridCol w:w="7317"/>
      </w:tblGrid>
      <w:tr w:rsidR="0067210B" w14:paraId="0B017802" w14:textId="77777777" w:rsidTr="001D0DA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23" w:type="dxa"/>
          </w:tcPr>
          <w:p w14:paraId="7AE6063E" w14:textId="77777777" w:rsidR="0067210B" w:rsidRPr="00303320" w:rsidRDefault="0067210B" w:rsidP="00D94216">
            <w:pPr>
              <w:spacing w:after="0"/>
            </w:pPr>
            <w:r w:rsidRPr="00303320">
              <w:t>Term</w:t>
            </w:r>
          </w:p>
        </w:tc>
        <w:tc>
          <w:tcPr>
            <w:tcW w:w="7317" w:type="dxa"/>
          </w:tcPr>
          <w:p w14:paraId="658A7042" w14:textId="77777777" w:rsidR="0067210B" w:rsidRPr="00303320" w:rsidRDefault="0067210B" w:rsidP="00D94216">
            <w:pPr>
              <w:spacing w:after="0"/>
              <w:cnfStyle w:val="100000000000" w:firstRow="1" w:lastRow="0" w:firstColumn="0" w:lastColumn="0" w:oddVBand="0" w:evenVBand="0" w:oddHBand="0" w:evenHBand="0" w:firstRowFirstColumn="0" w:firstRowLastColumn="0" w:lastRowFirstColumn="0" w:lastRowLastColumn="0"/>
            </w:pPr>
            <w:r>
              <w:t>Definition</w:t>
            </w:r>
          </w:p>
        </w:tc>
      </w:tr>
      <w:tr w:rsidR="0067210B" w14:paraId="3ACD4442" w14:textId="77777777" w:rsidTr="001D0DA4">
        <w:tc>
          <w:tcPr>
            <w:cnfStyle w:val="001000000000" w:firstRow="0" w:lastRow="0" w:firstColumn="1" w:lastColumn="0" w:oddVBand="0" w:evenVBand="0" w:oddHBand="0" w:evenHBand="0" w:firstRowFirstColumn="0" w:firstRowLastColumn="0" w:lastRowFirstColumn="0" w:lastRowLastColumn="0"/>
            <w:tcW w:w="1323" w:type="dxa"/>
          </w:tcPr>
          <w:p w14:paraId="5265AB02" w14:textId="77777777" w:rsidR="0067210B" w:rsidRPr="00303320" w:rsidRDefault="0067210B" w:rsidP="00D94216">
            <w:pPr>
              <w:spacing w:before="120"/>
            </w:pPr>
            <w:r>
              <w:t>ASTM</w:t>
            </w:r>
          </w:p>
        </w:tc>
        <w:tc>
          <w:tcPr>
            <w:tcW w:w="7317" w:type="dxa"/>
          </w:tcPr>
          <w:p w14:paraId="215E541B" w14:textId="77777777" w:rsidR="0067210B" w:rsidRDefault="0067210B" w:rsidP="00D94216">
            <w:pPr>
              <w:spacing w:before="120"/>
              <w:cnfStyle w:val="000000000000" w:firstRow="0" w:lastRow="0" w:firstColumn="0" w:lastColumn="0" w:oddVBand="0" w:evenVBand="0" w:oddHBand="0" w:evenHBand="0" w:firstRowFirstColumn="0" w:firstRowLastColumn="0" w:lastRowFirstColumn="0" w:lastRowLastColumn="0"/>
            </w:pPr>
            <w:r>
              <w:t>American Society for Testing and Materials, a standards organization</w:t>
            </w:r>
          </w:p>
        </w:tc>
      </w:tr>
      <w:tr w:rsidR="0067210B" w14:paraId="591AA66E" w14:textId="77777777" w:rsidTr="001D0DA4">
        <w:tc>
          <w:tcPr>
            <w:cnfStyle w:val="001000000000" w:firstRow="0" w:lastRow="0" w:firstColumn="1" w:lastColumn="0" w:oddVBand="0" w:evenVBand="0" w:oddHBand="0" w:evenHBand="0" w:firstRowFirstColumn="0" w:firstRowLastColumn="0" w:lastRowFirstColumn="0" w:lastRowLastColumn="0"/>
            <w:tcW w:w="1323" w:type="dxa"/>
          </w:tcPr>
          <w:p w14:paraId="427F0A5B" w14:textId="785C2D0F" w:rsidR="0067210B" w:rsidRPr="00EA141A" w:rsidRDefault="0067210B" w:rsidP="00D94216">
            <w:r>
              <w:rPr>
                <w:i/>
              </w:rPr>
              <w:t>I</w:t>
            </w:r>
            <w:r w:rsidR="001D0DA4" w:rsidRPr="001D0DA4">
              <w:rPr>
                <w:iCs/>
                <w:vertAlign w:val="subscript"/>
              </w:rPr>
              <w:t>C</w:t>
            </w:r>
          </w:p>
        </w:tc>
        <w:tc>
          <w:tcPr>
            <w:tcW w:w="7317" w:type="dxa"/>
          </w:tcPr>
          <w:p w14:paraId="1EBD23FF" w14:textId="77777777" w:rsidR="0067210B" w:rsidRDefault="0067210B" w:rsidP="00D94216">
            <w:pPr>
              <w:cnfStyle w:val="000000000000" w:firstRow="0" w:lastRow="0" w:firstColumn="0" w:lastColumn="0" w:oddVBand="0" w:evenVBand="0" w:oddHBand="0" w:evenHBand="0" w:firstRowFirstColumn="0" w:firstRowLastColumn="0" w:lastRowFirstColumn="0" w:lastRowLastColumn="0"/>
            </w:pPr>
            <w:r>
              <w:t>Critical current</w:t>
            </w:r>
          </w:p>
        </w:tc>
      </w:tr>
      <w:tr w:rsidR="0067210B" w14:paraId="72A2478F" w14:textId="77777777" w:rsidTr="001D0DA4">
        <w:tc>
          <w:tcPr>
            <w:cnfStyle w:val="001000000000" w:firstRow="0" w:lastRow="0" w:firstColumn="1" w:lastColumn="0" w:oddVBand="0" w:evenVBand="0" w:oddHBand="0" w:evenHBand="0" w:firstRowFirstColumn="0" w:firstRowLastColumn="0" w:lastRowFirstColumn="0" w:lastRowLastColumn="0"/>
            <w:tcW w:w="1323" w:type="dxa"/>
          </w:tcPr>
          <w:p w14:paraId="6E6FBE06" w14:textId="77777777" w:rsidR="0067210B" w:rsidRPr="00251AF7" w:rsidRDefault="0067210B" w:rsidP="00D94216">
            <w:r>
              <w:t>IEC</w:t>
            </w:r>
          </w:p>
        </w:tc>
        <w:tc>
          <w:tcPr>
            <w:tcW w:w="7317" w:type="dxa"/>
          </w:tcPr>
          <w:p w14:paraId="4FD9D3E1" w14:textId="77777777" w:rsidR="0067210B" w:rsidRDefault="0067210B" w:rsidP="00D94216">
            <w:pPr>
              <w:cnfStyle w:val="000000000000" w:firstRow="0" w:lastRow="0" w:firstColumn="0" w:lastColumn="0" w:oddVBand="0" w:evenVBand="0" w:oddHBand="0" w:evenHBand="0" w:firstRowFirstColumn="0" w:firstRowLastColumn="0" w:lastRowFirstColumn="0" w:lastRowLastColumn="0"/>
            </w:pPr>
            <w:r>
              <w:t>International Electrotechnical Commission, a standards organization</w:t>
            </w:r>
          </w:p>
        </w:tc>
      </w:tr>
      <w:tr w:rsidR="0067210B" w14:paraId="36017C33" w14:textId="77777777" w:rsidTr="001D0DA4">
        <w:tc>
          <w:tcPr>
            <w:cnfStyle w:val="001000000000" w:firstRow="0" w:lastRow="0" w:firstColumn="1" w:lastColumn="0" w:oddVBand="0" w:evenVBand="0" w:oddHBand="0" w:evenHBand="0" w:firstRowFirstColumn="0" w:firstRowLastColumn="0" w:lastRowFirstColumn="0" w:lastRowLastColumn="0"/>
            <w:tcW w:w="1323" w:type="dxa"/>
          </w:tcPr>
          <w:p w14:paraId="423D211B" w14:textId="77777777" w:rsidR="0067210B" w:rsidRDefault="0067210B" w:rsidP="00D94216">
            <w:r>
              <w:t>LBNL</w:t>
            </w:r>
          </w:p>
        </w:tc>
        <w:tc>
          <w:tcPr>
            <w:tcW w:w="7317" w:type="dxa"/>
          </w:tcPr>
          <w:p w14:paraId="3E2BEBCA" w14:textId="77777777" w:rsidR="0067210B" w:rsidRDefault="0067210B" w:rsidP="00D94216">
            <w:pPr>
              <w:cnfStyle w:val="000000000000" w:firstRow="0" w:lastRow="0" w:firstColumn="0" w:lastColumn="0" w:oddVBand="0" w:evenVBand="0" w:oddHBand="0" w:evenHBand="0" w:firstRowFirstColumn="0" w:firstRowLastColumn="0" w:lastRowFirstColumn="0" w:lastRowLastColumn="0"/>
            </w:pPr>
            <w:r>
              <w:t>Lawrence Berkeley National Laboratory</w:t>
            </w:r>
          </w:p>
        </w:tc>
      </w:tr>
      <w:tr w:rsidR="0067210B" w14:paraId="1CA56AC8" w14:textId="77777777" w:rsidTr="001D0DA4">
        <w:tc>
          <w:tcPr>
            <w:cnfStyle w:val="001000000000" w:firstRow="0" w:lastRow="0" w:firstColumn="1" w:lastColumn="0" w:oddVBand="0" w:evenVBand="0" w:oddHBand="0" w:evenHBand="0" w:firstRowFirstColumn="0" w:firstRowLastColumn="0" w:lastRowFirstColumn="0" w:lastRowLastColumn="0"/>
            <w:tcW w:w="1323" w:type="dxa"/>
          </w:tcPr>
          <w:p w14:paraId="2169E12D" w14:textId="77777777" w:rsidR="0067210B" w:rsidRDefault="0067210B" w:rsidP="00D94216">
            <w:r>
              <w:lastRenderedPageBreak/>
              <w:t>Non-Cu</w:t>
            </w:r>
          </w:p>
        </w:tc>
        <w:tc>
          <w:tcPr>
            <w:tcW w:w="7317" w:type="dxa"/>
          </w:tcPr>
          <w:p w14:paraId="75F03EC8" w14:textId="77777777" w:rsidR="0067210B" w:rsidRPr="00654D86" w:rsidRDefault="0067210B" w:rsidP="00D94216">
            <w:pPr>
              <w:cnfStyle w:val="000000000000" w:firstRow="0" w:lastRow="0" w:firstColumn="0" w:lastColumn="0" w:oddVBand="0" w:evenVBand="0" w:oddHBand="0" w:evenHBand="0" w:firstRowFirstColumn="0" w:firstRowLastColumn="0" w:lastRowFirstColumn="0" w:lastRowLastColumn="0"/>
            </w:pPr>
            <w:r>
              <w:t>The portion of the conductor cross section contained within diffusion barriers, including the barriers themselves.  This portion contains the superconducting Nb</w:t>
            </w:r>
            <w:r>
              <w:rPr>
                <w:vertAlign w:val="subscript"/>
              </w:rPr>
              <w:t>3</w:t>
            </w:r>
            <w:r>
              <w:t>Sn after reaction.</w:t>
            </w:r>
          </w:p>
        </w:tc>
      </w:tr>
      <w:tr w:rsidR="0067210B" w14:paraId="0A3B0973" w14:textId="77777777" w:rsidTr="001D0DA4">
        <w:tc>
          <w:tcPr>
            <w:cnfStyle w:val="001000000000" w:firstRow="0" w:lastRow="0" w:firstColumn="1" w:lastColumn="0" w:oddVBand="0" w:evenVBand="0" w:oddHBand="0" w:evenHBand="0" w:firstRowFirstColumn="0" w:firstRowLastColumn="0" w:lastRowFirstColumn="0" w:lastRowLastColumn="0"/>
            <w:tcW w:w="1323" w:type="dxa"/>
          </w:tcPr>
          <w:p w14:paraId="10FE3255" w14:textId="77777777" w:rsidR="0067210B" w:rsidRDefault="0067210B" w:rsidP="00D94216">
            <w:r>
              <w:t>RRR</w:t>
            </w:r>
          </w:p>
        </w:tc>
        <w:tc>
          <w:tcPr>
            <w:tcW w:w="7317" w:type="dxa"/>
          </w:tcPr>
          <w:p w14:paraId="02DD98C9" w14:textId="77777777" w:rsidR="0067210B" w:rsidRDefault="0067210B" w:rsidP="00D94216">
            <w:pPr>
              <w:cnfStyle w:val="000000000000" w:firstRow="0" w:lastRow="0" w:firstColumn="0" w:lastColumn="0" w:oddVBand="0" w:evenVBand="0" w:oddHBand="0" w:evenHBand="0" w:firstRowFirstColumn="0" w:firstRowLastColumn="0" w:lastRowFirstColumn="0" w:lastRowLastColumn="0"/>
            </w:pPr>
            <w:r>
              <w:t>Residual resistance ratio, the ratio of resistance measured at room temperature to that measured just above the superconducting transition in zero magnetic field</w:t>
            </w:r>
          </w:p>
        </w:tc>
      </w:tr>
    </w:tbl>
    <w:p w14:paraId="06FDBD5D" w14:textId="77777777" w:rsidR="0067210B" w:rsidRPr="00A723DA" w:rsidRDefault="0067210B" w:rsidP="0067210B">
      <w:pPr>
        <w:pStyle w:val="Heading1"/>
      </w:pPr>
      <w:bookmarkStart w:id="42" w:name="_Toc456780808"/>
      <w:r>
        <w:t>TERMINOLOGY</w:t>
      </w:r>
      <w:bookmarkEnd w:id="40"/>
      <w:bookmarkEnd w:id="42"/>
    </w:p>
    <w:p w14:paraId="4F56496A" w14:textId="74B0EE56" w:rsidR="0067210B" w:rsidRPr="00636CF8" w:rsidRDefault="0067210B" w:rsidP="0067210B">
      <w:r>
        <w:t xml:space="preserve">Terminology from </w:t>
      </w:r>
      <w:r>
        <w:fldChar w:fldCharType="begin"/>
      </w:r>
      <w:r>
        <w:instrText xml:space="preserve"> REF _Ref414633400 \h </w:instrText>
      </w:r>
      <w:r>
        <w:fldChar w:fldCharType="separate"/>
      </w:r>
      <w:r w:rsidR="00C75BD8">
        <w:rPr>
          <w:i/>
        </w:rPr>
        <w:t xml:space="preserve">TFD </w:t>
      </w:r>
      <w:r w:rsidR="00C75BD8" w:rsidRPr="00F41982">
        <w:rPr>
          <w:i/>
        </w:rPr>
        <w:t>Material Naming Scheme</w:t>
      </w:r>
      <w:r>
        <w:fldChar w:fldCharType="end"/>
      </w:r>
      <w:r>
        <w:t xml:space="preserve"> applies.  </w:t>
      </w:r>
      <w:r>
        <w:rPr>
          <w:i/>
        </w:rPr>
        <w:t>In addition</w:t>
      </w:r>
      <w:r>
        <w:t>, the following terms apply to throughout this document:</w:t>
      </w:r>
    </w:p>
    <w:p w14:paraId="3C4B3CED" w14:textId="2525423D" w:rsidR="0067210B" w:rsidRDefault="0067210B" w:rsidP="0067210B">
      <w:pPr>
        <w:pStyle w:val="Heading2"/>
      </w:pPr>
      <w:bookmarkStart w:id="43" w:name="_Ref410050033"/>
      <w:bookmarkStart w:id="44" w:name="_Toc410208922"/>
      <w:bookmarkStart w:id="45" w:name="_Toc410209102"/>
      <w:r w:rsidRPr="0011028A">
        <w:rPr>
          <w:b/>
          <w:i/>
        </w:rPr>
        <w:t>Sub</w:t>
      </w:r>
      <w:r w:rsidR="00F46D98">
        <w:rPr>
          <w:b/>
          <w:i/>
        </w:rPr>
        <w:t>-</w:t>
      </w:r>
      <w:r w:rsidRPr="0011028A">
        <w:rPr>
          <w:b/>
          <w:i/>
        </w:rPr>
        <w:t>element</w:t>
      </w:r>
      <w:r>
        <w:rPr>
          <w:i/>
        </w:rPr>
        <w:t>:</w:t>
      </w:r>
      <w:r>
        <w:t xml:space="preserve"> A self-contained unit that contains copper, tin, niobium, and possibly other elements that is intended to produce the Nb</w:t>
      </w:r>
      <w:r>
        <w:rPr>
          <w:vertAlign w:val="subscript"/>
        </w:rPr>
        <w:t>3</w:t>
      </w:r>
      <w:r>
        <w:t>Sn phase after a reaction.</w:t>
      </w:r>
      <w:bookmarkEnd w:id="43"/>
      <w:bookmarkEnd w:id="44"/>
      <w:bookmarkEnd w:id="45"/>
    </w:p>
    <w:p w14:paraId="2D6D2CA3" w14:textId="77777777" w:rsidR="0067210B" w:rsidRPr="002F3C1F" w:rsidRDefault="0067210B" w:rsidP="0067210B">
      <w:pPr>
        <w:pStyle w:val="Heading2"/>
      </w:pPr>
      <w:bookmarkStart w:id="46" w:name="_Toc410208923"/>
      <w:bookmarkStart w:id="47" w:name="_Toc410209103"/>
      <w:r w:rsidRPr="002F3C1F">
        <w:rPr>
          <w:b/>
          <w:i/>
        </w:rPr>
        <w:t>Lot:</w:t>
      </w:r>
      <w:r>
        <w:rPr>
          <w:i/>
        </w:rPr>
        <w:t xml:space="preserve"> </w:t>
      </w:r>
      <w:r>
        <w:t>All material having the same parent ingot or billet and having been annealed in the same furnace charge and processed on the same manufacturing line during the same production period.</w:t>
      </w:r>
    </w:p>
    <w:p w14:paraId="50562934" w14:textId="77777777" w:rsidR="0067210B" w:rsidRPr="00AB0E36" w:rsidRDefault="0067210B" w:rsidP="0067210B">
      <w:pPr>
        <w:pStyle w:val="Heading2"/>
      </w:pPr>
      <w:r>
        <w:rPr>
          <w:b/>
          <w:i/>
        </w:rPr>
        <w:t>Non-copper</w:t>
      </w:r>
      <w:r>
        <w:t>:  The portion of the conductor cross-section that is composed of sub-elements not made from pure copper.</w:t>
      </w:r>
      <w:bookmarkEnd w:id="46"/>
      <w:bookmarkEnd w:id="47"/>
    </w:p>
    <w:p w14:paraId="14778E61" w14:textId="77777777" w:rsidR="0067210B" w:rsidRPr="008968F7" w:rsidRDefault="0067210B" w:rsidP="0067210B">
      <w:pPr>
        <w:pStyle w:val="Heading2"/>
      </w:pPr>
      <w:bookmarkStart w:id="48" w:name="_Ref456710561"/>
      <w:bookmarkStart w:id="49" w:name="_Ref410049939"/>
      <w:bookmarkStart w:id="50" w:name="_Toc410208924"/>
      <w:bookmarkStart w:id="51" w:name="_Toc410209104"/>
      <w:r>
        <w:rPr>
          <w:b/>
          <w:i/>
        </w:rPr>
        <w:t>Diameter</w:t>
      </w:r>
      <w:r>
        <w:rPr>
          <w:b/>
        </w:rPr>
        <w:t xml:space="preserve">: </w:t>
      </w:r>
      <w:r>
        <w:t xml:space="preserve">The diameter </w:t>
      </w:r>
      <w:r>
        <w:rPr>
          <w:i/>
        </w:rPr>
        <w:t>d</w:t>
      </w:r>
      <w:r>
        <w:t xml:space="preserve"> is given by the arithmetic average of multiple simultaneous measurements of diameter for </w:t>
      </w:r>
      <w:r>
        <w:rPr>
          <w:i/>
        </w:rPr>
        <w:t>n</w:t>
      </w:r>
      <w:r>
        <w:t xml:space="preserve"> axes perpendicular to the wire axis, </w:t>
      </w:r>
      <m:oMath>
        <m:r>
          <w:rPr>
            <w:rFonts w:ascii="Cambria Math" w:hAnsi="Cambria Math"/>
          </w:rPr>
          <m:t>d=</m:t>
        </m:r>
        <m:sSup>
          <m:sSupPr>
            <m:ctrlPr>
              <w:rPr>
                <w:rFonts w:ascii="Cambria Math" w:hAnsi="Cambria Math"/>
                <w:i/>
              </w:rPr>
            </m:ctrlPr>
          </m:sSupPr>
          <m:e>
            <m:r>
              <w:rPr>
                <w:rFonts w:ascii="Cambria Math" w:hAnsi="Cambria Math"/>
              </w:rPr>
              <m:t>n</m:t>
            </m:r>
          </m:e>
          <m:sup>
            <m:r>
              <w:rPr>
                <w:rFonts w:ascii="Cambria Math" w:hAnsi="Cambria Math"/>
              </w:rPr>
              <m:t>-1</m:t>
            </m:r>
          </m:sup>
        </m:sSup>
        <m:nary>
          <m:naryPr>
            <m:chr m:val="∑"/>
            <m:limLoc m:val="subSup"/>
            <m:ctrlPr>
              <w:rPr>
                <w:rFonts w:ascii="Cambria Math" w:hAnsi="Cambria Math"/>
                <w:i/>
              </w:rPr>
            </m:ctrlPr>
          </m:naryPr>
          <m:sub>
            <m:r>
              <w:rPr>
                <w:rFonts w:ascii="Cambria Math" w:hAnsi="Cambria Math"/>
              </w:rPr>
              <m:t>i=1</m:t>
            </m:r>
          </m:sub>
          <m:sup>
            <m:r>
              <w:rPr>
                <w:rFonts w:ascii="Cambria Math" w:hAnsi="Cambria Math"/>
              </w:rPr>
              <m:t>n</m:t>
            </m:r>
          </m:sup>
          <m:e>
            <m:sSub>
              <m:sSubPr>
                <m:ctrlPr>
                  <w:rPr>
                    <w:rFonts w:ascii="Cambria Math" w:hAnsi="Cambria Math"/>
                    <w:i/>
                  </w:rPr>
                </m:ctrlPr>
              </m:sSubPr>
              <m:e>
                <m:r>
                  <w:rPr>
                    <w:rFonts w:ascii="Cambria Math" w:hAnsi="Cambria Math"/>
                  </w:rPr>
                  <m:t>d</m:t>
                </m:r>
              </m:e>
              <m:sub>
                <m:r>
                  <w:rPr>
                    <w:rFonts w:ascii="Cambria Math" w:hAnsi="Cambria Math"/>
                  </w:rPr>
                  <m:t>i</m:t>
                </m:r>
              </m:sub>
            </m:sSub>
          </m:e>
        </m:nary>
      </m:oMath>
      <w:r>
        <w:t xml:space="preserve">.  For a 2-axis measuring device reporting measurements </w:t>
      </w:r>
      <w:r>
        <w:rPr>
          <w:i/>
        </w:rPr>
        <w:t>a</w:t>
      </w:r>
      <w:r>
        <w:t xml:space="preserve"> and </w:t>
      </w:r>
      <w:r>
        <w:rPr>
          <w:i/>
        </w:rPr>
        <w:t>b</w:t>
      </w:r>
      <w:bookmarkEnd w:id="48"/>
      <w:r>
        <w:t xml:space="preserve"> along orthogonal directions transverse to the wire axis, </w:t>
      </w:r>
      <w:r>
        <w:rPr>
          <w:i/>
        </w:rPr>
        <w:t>d</w:t>
      </w:r>
      <w:r>
        <w:t xml:space="preserve"> = (</w:t>
      </w:r>
      <w:r>
        <w:rPr>
          <w:i/>
        </w:rPr>
        <w:t>a</w:t>
      </w:r>
      <w:r>
        <w:t xml:space="preserve"> + </w:t>
      </w:r>
      <w:r>
        <w:rPr>
          <w:i/>
        </w:rPr>
        <w:t>b</w:t>
      </w:r>
      <w:r>
        <w:t xml:space="preserve">) / 2.  </w:t>
      </w:r>
    </w:p>
    <w:p w14:paraId="499DD496" w14:textId="77777777" w:rsidR="0067210B" w:rsidRDefault="0067210B" w:rsidP="0067210B">
      <w:pPr>
        <w:pStyle w:val="Heading2"/>
      </w:pPr>
      <w:bookmarkStart w:id="52" w:name="_Ref456712682"/>
      <w:r>
        <w:rPr>
          <w:b/>
          <w:i/>
        </w:rPr>
        <w:t>Ovality</w:t>
      </w:r>
      <w:r>
        <w:rPr>
          <w:i/>
        </w:rPr>
        <w:t>:</w:t>
      </w:r>
      <w:r>
        <w:t xml:space="preserve"> The ovality </w:t>
      </w:r>
      <w:r>
        <w:rPr>
          <w:i/>
        </w:rPr>
        <w:t>o</w:t>
      </w:r>
      <w:r>
        <w:t xml:space="preserve"> is given by </w:t>
      </w:r>
      <w:r>
        <w:rPr>
          <w:i/>
        </w:rPr>
        <w:t>o</w:t>
      </w:r>
      <w:r>
        <w:t xml:space="preserve"> = |</w:t>
      </w:r>
      <w:r>
        <w:rPr>
          <w:i/>
        </w:rPr>
        <w:t>a – b</w:t>
      </w:r>
      <w:r>
        <w:t xml:space="preserve">|, where </w:t>
      </w:r>
      <w:r>
        <w:rPr>
          <w:i/>
        </w:rPr>
        <w:t>a</w:t>
      </w:r>
      <w:r>
        <w:t xml:space="preserve"> and </w:t>
      </w:r>
      <w:r>
        <w:rPr>
          <w:i/>
        </w:rPr>
        <w:t>b</w:t>
      </w:r>
      <w:r>
        <w:t xml:space="preserve"> are the maximum and minimum dimensions measured along orthogonal directions transverse to the wire axis.  A perfectly round wire thus has an ovality of 0.</w:t>
      </w:r>
      <w:bookmarkEnd w:id="49"/>
      <w:bookmarkEnd w:id="50"/>
      <w:bookmarkEnd w:id="51"/>
      <w:bookmarkEnd w:id="52"/>
    </w:p>
    <w:p w14:paraId="46F164EB" w14:textId="6E75D457" w:rsidR="0067210B" w:rsidRPr="00251AF7" w:rsidRDefault="0067210B" w:rsidP="0067210B">
      <w:pPr>
        <w:pStyle w:val="Heading2"/>
      </w:pPr>
      <w:bookmarkStart w:id="53" w:name="_Toc410208926"/>
      <w:bookmarkStart w:id="54" w:name="_Toc410209106"/>
      <w:r>
        <w:rPr>
          <w:b/>
          <w:i/>
        </w:rPr>
        <w:t>Unit Length</w:t>
      </w:r>
      <w:r>
        <w:rPr>
          <w:b/>
        </w:rPr>
        <w:t>:</w:t>
      </w:r>
      <w:r>
        <w:t xml:space="preserve">  The length of each strand in a cable used to wind magnet</w:t>
      </w:r>
      <w:r w:rsidR="0060638D">
        <w:t xml:space="preserve"> coils</w:t>
      </w:r>
      <w:r>
        <w:t xml:space="preserve">.  </w:t>
      </w:r>
    </w:p>
    <w:p w14:paraId="35B970D3" w14:textId="456FC90B" w:rsidR="0067210B" w:rsidRPr="00A00988" w:rsidRDefault="0067210B" w:rsidP="0067210B">
      <w:pPr>
        <w:pStyle w:val="Heading2"/>
      </w:pPr>
      <w:bookmarkStart w:id="55" w:name="_Ref418495775"/>
      <w:bookmarkStart w:id="56" w:name="_Ref456780283"/>
      <w:r w:rsidRPr="00FD08FE">
        <w:rPr>
          <w:b/>
          <w:i/>
        </w:rPr>
        <w:t>Yield</w:t>
      </w:r>
      <w:r>
        <w:t xml:space="preserve">: </w:t>
      </w:r>
      <w:r w:rsidRPr="00FD08FE">
        <w:t xml:space="preserve">The yield of a billet shall be defined as the ratio of </w:t>
      </w:r>
      <w:r w:rsidRPr="00282962">
        <w:rPr>
          <w:i/>
          <w:iCs/>
        </w:rPr>
        <w:t>the total mass of pieces from the billet that meet all delivery requirements</w:t>
      </w:r>
      <w:r w:rsidRPr="00FD08FE">
        <w:t xml:space="preserve"> to </w:t>
      </w:r>
      <w:r w:rsidR="00282962" w:rsidRPr="00282962">
        <w:rPr>
          <w:i/>
          <w:iCs/>
        </w:rPr>
        <w:t xml:space="preserve">the </w:t>
      </w:r>
      <w:r w:rsidRPr="00282962">
        <w:rPr>
          <w:i/>
          <w:iCs/>
        </w:rPr>
        <w:t>starting billet mass</w:t>
      </w:r>
      <w:r w:rsidR="00282962" w:rsidRPr="00282962">
        <w:rPr>
          <w:i/>
          <w:iCs/>
        </w:rPr>
        <w:t xml:space="preserve"> that can be processed in the “stable zone”</w:t>
      </w:r>
      <w:r w:rsidRPr="00FD08FE">
        <w:t>.</w:t>
      </w:r>
      <w:bookmarkEnd w:id="53"/>
      <w:bookmarkEnd w:id="54"/>
      <w:bookmarkEnd w:id="55"/>
      <w:r w:rsidRPr="00FD08FE">
        <w:t xml:space="preserve">  </w:t>
      </w:r>
      <w:bookmarkEnd w:id="56"/>
      <w:r w:rsidR="00282962">
        <w:t>The supplier shall state the 100% yield mass in a Disclosure Statement.</w:t>
      </w:r>
    </w:p>
    <w:p w14:paraId="262A263F" w14:textId="77777777" w:rsidR="0067210B" w:rsidRPr="001D7380" w:rsidRDefault="0067210B" w:rsidP="0067210B">
      <w:pPr>
        <w:pStyle w:val="Heading1"/>
      </w:pPr>
      <w:bookmarkStart w:id="57" w:name="_Toc456780809"/>
      <w:bookmarkEnd w:id="41"/>
      <w:r>
        <w:t>PHYSICAL REQUIREMENTS AND PHYSICAL PROPERTY TESTING</w:t>
      </w:r>
      <w:bookmarkEnd w:id="57"/>
    </w:p>
    <w:p w14:paraId="3A09FF53" w14:textId="77777777" w:rsidR="0067210B" w:rsidRPr="006B699E" w:rsidRDefault="0067210B" w:rsidP="0067210B">
      <w:pPr>
        <w:pStyle w:val="Heading2"/>
      </w:pPr>
      <w:bookmarkStart w:id="58" w:name="_Ref404695160"/>
      <w:bookmarkStart w:id="59" w:name="_Toc410209109"/>
      <w:bookmarkStart w:id="60" w:name="_Ref399842734"/>
      <w:bookmarkStart w:id="61" w:name="_Ref404346752"/>
      <w:r w:rsidRPr="006B699E">
        <w:t>Strand Diameter:</w:t>
      </w:r>
      <w:bookmarkEnd w:id="58"/>
      <w:bookmarkEnd w:id="59"/>
      <w:r w:rsidRPr="006B699E">
        <w:t xml:space="preserve">  </w:t>
      </w:r>
    </w:p>
    <w:p w14:paraId="2C94F516" w14:textId="1E33C2BB" w:rsidR="0067210B" w:rsidRPr="00661753" w:rsidRDefault="0067210B" w:rsidP="00900154">
      <w:pPr>
        <w:pStyle w:val="Heading3"/>
      </w:pPr>
      <w:bookmarkStart w:id="62" w:name="_Ref456711200"/>
      <w:bookmarkStart w:id="63" w:name="_Ref417462085"/>
      <w:bookmarkStart w:id="64" w:name="_Ref456703219"/>
      <w:r w:rsidRPr="00661753">
        <w:t xml:space="preserve">The strand diameter shall be </w:t>
      </w:r>
      <w:r>
        <w:t>determined</w:t>
      </w:r>
      <w:r w:rsidRPr="00661753">
        <w:t xml:space="preserve"> by a calibrated </w:t>
      </w:r>
      <w:r>
        <w:t>multi</w:t>
      </w:r>
      <w:r w:rsidRPr="00661753">
        <w:t>-axis laser micrometer</w:t>
      </w:r>
      <w:bookmarkEnd w:id="62"/>
      <w:r>
        <w:t xml:space="preserve">, with simultaneous measurement axes perpendicular to the strand axis. </w:t>
      </w:r>
      <w:r w:rsidRPr="00847863">
        <w:t xml:space="preserve">The requirement above is graphically presented in figure 1, for </w:t>
      </w:r>
      <w:r>
        <w:t xml:space="preserve">target diameter </w:t>
      </w:r>
      <w:r w:rsidRPr="00847863">
        <w:rPr>
          <w:i/>
        </w:rPr>
        <w:t>d</w:t>
      </w:r>
      <w:r w:rsidRPr="00847863">
        <w:rPr>
          <w:i/>
          <w:vertAlign w:val="subscript"/>
        </w:rPr>
        <w:t>0</w:t>
      </w:r>
      <w:r w:rsidRPr="00847863">
        <w:t xml:space="preserve"> = </w:t>
      </w:r>
      <w:r w:rsidR="0060638D">
        <w:t>1</w:t>
      </w:r>
      <w:r w:rsidRPr="00847863">
        <w:t>.</w:t>
      </w:r>
      <w:r w:rsidR="0060638D">
        <w:t>1</w:t>
      </w:r>
      <w:r w:rsidRPr="00847863">
        <w:t>0</w:t>
      </w:r>
      <w:r w:rsidR="0060638D">
        <w:t>0</w:t>
      </w:r>
      <w:r w:rsidRPr="00847863">
        <w:t xml:space="preserve"> mm and tolerance </w:t>
      </w:r>
      <w:r>
        <w:rPr>
          <w:rFonts w:ascii="Symbol" w:hAnsi="Symbol"/>
        </w:rPr>
        <w:t></w:t>
      </w:r>
      <w:r w:rsidRPr="00847863">
        <w:t xml:space="preserve"> = 0.003 mm.</w:t>
      </w:r>
      <w:r>
        <w:t xml:space="preserve">  </w:t>
      </w:r>
    </w:p>
    <w:p w14:paraId="698B0FFA" w14:textId="77777777" w:rsidR="0067210B" w:rsidRPr="00661753" w:rsidRDefault="0067210B" w:rsidP="00900154">
      <w:pPr>
        <w:pStyle w:val="Heading3"/>
      </w:pPr>
      <w:r>
        <w:rPr>
          <w:noProof/>
        </w:rPr>
        <w:lastRenderedPageBreak/>
        <mc:AlternateContent>
          <mc:Choice Requires="wps">
            <w:drawing>
              <wp:anchor distT="0" distB="0" distL="114300" distR="114300" simplePos="0" relativeHeight="251659264" behindDoc="0" locked="0" layoutInCell="1" allowOverlap="1" wp14:anchorId="22E425D8" wp14:editId="258CA138">
                <wp:simplePos x="0" y="0"/>
                <wp:positionH relativeFrom="margin">
                  <wp:posOffset>2981325</wp:posOffset>
                </wp:positionH>
                <wp:positionV relativeFrom="margin">
                  <wp:posOffset>4804410</wp:posOffset>
                </wp:positionV>
                <wp:extent cx="2466975" cy="2181225"/>
                <wp:effectExtent l="0" t="0" r="9525" b="2540"/>
                <wp:wrapSquare wrapText="bothSides"/>
                <wp:docPr id="2" name="Text Box 2"/>
                <wp:cNvGraphicFramePr/>
                <a:graphic xmlns:a="http://schemas.openxmlformats.org/drawingml/2006/main">
                  <a:graphicData uri="http://schemas.microsoft.com/office/word/2010/wordprocessingShape">
                    <wps:wsp>
                      <wps:cNvSpPr txBox="1"/>
                      <wps:spPr>
                        <a:xfrm>
                          <a:off x="0" y="0"/>
                          <a:ext cx="2466975" cy="21812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9467CD4" w14:textId="77777777" w:rsidR="00327ECF" w:rsidRDefault="00327ECF" w:rsidP="0067210B">
                            <w:r w:rsidRPr="00E34EFF">
                              <w:rPr>
                                <w:noProof/>
                              </w:rPr>
                              <w:drawing>
                                <wp:inline distT="0" distB="0" distL="0" distR="0" wp14:anchorId="65B976D7" wp14:editId="17110CA5">
                                  <wp:extent cx="2257425" cy="2400752"/>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23318" cy="2470828"/>
                                          </a:xfrm>
                                          <a:prstGeom prst="rect">
                                            <a:avLst/>
                                          </a:prstGeom>
                                          <a:noFill/>
                                          <a:ln>
                                            <a:noFill/>
                                          </a:ln>
                                        </pic:spPr>
                                      </pic:pic>
                                    </a:graphicData>
                                  </a:graphic>
                                </wp:inline>
                              </w:drawing>
                            </w:r>
                          </w:p>
                          <w:p w14:paraId="102F943B" w14:textId="77777777" w:rsidR="00327ECF" w:rsidRDefault="00327ECF" w:rsidP="0067210B">
                            <w:r>
                              <w:t>Figure 1.  Graphical representation of multi-axis diameter measurements.  The strand cross-section at a particular location is represented in blue.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22E425D8" id="_x0000_t202" coordsize="21600,21600" o:spt="202" path="m,l,21600r21600,l21600,xe">
                <v:stroke joinstyle="miter"/>
                <v:path gradientshapeok="t" o:connecttype="rect"/>
              </v:shapetype>
              <v:shape id="Text Box 2" o:spid="_x0000_s1026" type="#_x0000_t202" style="position:absolute;left:0;text-align:left;margin-left:234.75pt;margin-top:378.3pt;width:194.25pt;height:171.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" fillcolor="white [3201]" stroked="f" strokeweight=".5pt">
                <v:textbox style="mso-fit-shape-to-text:t">
                  <w:txbxContent>
                    <w:p w14:paraId="29467CD4" w14:textId="77777777" w:rsidR="00327ECF" w:rsidRDefault="00327ECF" w:rsidP="0067210B">
                      <w:r w:rsidRPr="00E34EFF">
                        <w:rPr>
                          <w:noProof/>
                        </w:rPr>
                        <w:drawing>
                          <wp:inline distT="0" distB="0" distL="0" distR="0" wp14:anchorId="65B976D7" wp14:editId="17110CA5">
                            <wp:extent cx="2257425" cy="2400752"/>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23318" cy="2470828"/>
                                    </a:xfrm>
                                    <a:prstGeom prst="rect">
                                      <a:avLst/>
                                    </a:prstGeom>
                                    <a:noFill/>
                                    <a:ln>
                                      <a:noFill/>
                                    </a:ln>
                                  </pic:spPr>
                                </pic:pic>
                              </a:graphicData>
                            </a:graphic>
                          </wp:inline>
                        </w:drawing>
                      </w:r>
                    </w:p>
                    <w:p w14:paraId="102F943B" w14:textId="77777777" w:rsidR="00327ECF" w:rsidRDefault="00327ECF" w:rsidP="0067210B">
                      <w:r>
                        <w:t>Figure 1.  Graphical representation of multi-axis diameter measurements.  The strand cross-section at a particular location is represented in blue.</w:t>
                      </w:r>
                    </w:p>
                  </w:txbxContent>
                </v:textbox>
                <w10:wrap type="square" anchorx="margin" anchory="margin"/>
              </v:shape>
            </w:pict>
          </mc:Fallback>
        </mc:AlternateContent>
      </w:r>
      <w:r w:rsidRPr="00661753">
        <w:t>The measurement</w:t>
      </w:r>
      <w:r>
        <w:t>s</w:t>
      </w:r>
      <w:r w:rsidRPr="00661753">
        <w:t xml:space="preserve"> shall be carried out at room temperature.</w:t>
      </w:r>
    </w:p>
    <w:p w14:paraId="16F0D27F" w14:textId="77777777" w:rsidR="0067210B" w:rsidRDefault="0067210B" w:rsidP="00900154">
      <w:pPr>
        <w:pStyle w:val="Heading3"/>
      </w:pPr>
      <w:bookmarkStart w:id="65" w:name="_Ref456771290"/>
      <w:bookmarkStart w:id="66" w:name="_Ref456711266"/>
      <w:r>
        <w:t xml:space="preserve">For each axis </w:t>
      </w:r>
      <w:proofErr w:type="spellStart"/>
      <w:r>
        <w:rPr>
          <w:i/>
        </w:rPr>
        <w:t>i</w:t>
      </w:r>
      <w:proofErr w:type="spellEnd"/>
      <w:r>
        <w:t>,</w:t>
      </w:r>
      <w:r>
        <w:rPr>
          <w:i/>
        </w:rPr>
        <w:t>,</w:t>
      </w:r>
      <w:r>
        <w:t xml:space="preserve">measurements </w:t>
      </w:r>
      <w:r>
        <w:rPr>
          <w:i/>
        </w:rPr>
        <w:t>d</w:t>
      </w:r>
      <w:r>
        <w:rPr>
          <w:i/>
          <w:vertAlign w:val="subscript"/>
        </w:rPr>
        <w:t>i</w:t>
      </w:r>
      <w:r>
        <w:t xml:space="preserve"> shall be simultaneously recorded at least once per meter.  </w:t>
      </w:r>
    </w:p>
    <w:p w14:paraId="2FC82276" w14:textId="77777777" w:rsidR="0067210B" w:rsidRDefault="0067210B" w:rsidP="00900154">
      <w:pPr>
        <w:pStyle w:val="Heading3"/>
      </w:pPr>
      <w:r>
        <w:t xml:space="preserve">The average </w:t>
      </w:r>
      <m:oMath>
        <m:acc>
          <m:accPr>
            <m:chr m:val="̅"/>
            <m:ctrlPr>
              <w:rPr>
                <w:rFonts w:ascii="Cambria Math" w:hAnsi="Cambria Math"/>
                <w:i/>
              </w:rPr>
            </m:ctrlPr>
          </m:accPr>
          <m:e>
            <m:sSub>
              <m:sSubPr>
                <m:ctrlPr>
                  <w:rPr>
                    <w:rFonts w:ascii="Cambria Math" w:hAnsi="Cambria Math"/>
                    <w:i/>
                  </w:rPr>
                </m:ctrlPr>
              </m:sSubPr>
              <m:e>
                <m:r>
                  <w:rPr>
                    <w:rFonts w:ascii="Cambria Math" w:hAnsi="Cambria Math"/>
                  </w:rPr>
                  <m:t>d</m:t>
                </m:r>
              </m:e>
              <m:sub>
                <m:r>
                  <w:rPr>
                    <w:rFonts w:ascii="Cambria Math" w:hAnsi="Cambria Math"/>
                  </w:rPr>
                  <m:t>i</m:t>
                </m:r>
              </m:sub>
            </m:sSub>
          </m:e>
        </m:acc>
      </m:oMath>
      <w:r>
        <w:t xml:space="preserve">and standard deviation </w:t>
      </w:r>
      <w:r>
        <w:rPr>
          <w:rFonts w:ascii="Symbol" w:hAnsi="Symbol"/>
        </w:rPr>
        <w:t></w:t>
      </w:r>
      <w:r>
        <w:rPr>
          <w:i/>
        </w:rPr>
        <w:t>d</w:t>
      </w:r>
      <w:r>
        <w:rPr>
          <w:i/>
          <w:vertAlign w:val="subscript"/>
        </w:rPr>
        <w:t>i</w:t>
      </w:r>
      <w:r>
        <w:t xml:space="preserve"> for all points acquired over the length of the piece shall be reported for each axis </w:t>
      </w:r>
      <w:proofErr w:type="spellStart"/>
      <w:r>
        <w:rPr>
          <w:i/>
        </w:rPr>
        <w:t>i</w:t>
      </w:r>
      <w:proofErr w:type="spellEnd"/>
      <w:r>
        <w:t>.</w:t>
      </w:r>
    </w:p>
    <w:p w14:paraId="2BDED7EB" w14:textId="1C26F973" w:rsidR="0067210B" w:rsidRDefault="0067210B" w:rsidP="00900154">
      <w:pPr>
        <w:pStyle w:val="Heading3"/>
      </w:pPr>
      <w:bookmarkStart w:id="67" w:name="_Ref456776116"/>
      <w:r w:rsidRPr="006D23F7">
        <w:rPr>
          <w:u w:val="single"/>
        </w:rPr>
        <w:t>For each axis</w:t>
      </w:r>
      <w:r>
        <w:t xml:space="preserve"> </w:t>
      </w:r>
      <w:proofErr w:type="spellStart"/>
      <w:r>
        <w:rPr>
          <w:i/>
        </w:rPr>
        <w:t>i</w:t>
      </w:r>
      <w:proofErr w:type="spellEnd"/>
      <w:r>
        <w:t xml:space="preserve">, average values </w:t>
      </w:r>
      <m:oMath>
        <m:acc>
          <m:accPr>
            <m:chr m:val="̅"/>
            <m:ctrlPr>
              <w:rPr>
                <w:rFonts w:ascii="Cambria Math" w:hAnsi="Cambria Math"/>
                <w:i/>
              </w:rPr>
            </m:ctrlPr>
          </m:accPr>
          <m:e>
            <m:sSub>
              <m:sSubPr>
                <m:ctrlPr>
                  <w:rPr>
                    <w:rFonts w:ascii="Cambria Math" w:hAnsi="Cambria Math"/>
                    <w:i/>
                  </w:rPr>
                </m:ctrlPr>
              </m:sSubPr>
              <m:e>
                <m:r>
                  <w:rPr>
                    <w:rFonts w:ascii="Cambria Math" w:hAnsi="Cambria Math"/>
                  </w:rPr>
                  <m:t>d</m:t>
                </m:r>
              </m:e>
              <m:sub>
                <m:r>
                  <w:rPr>
                    <w:rFonts w:ascii="Cambria Math" w:hAnsi="Cambria Math"/>
                  </w:rPr>
                  <m:t>i</m:t>
                </m:r>
              </m:sub>
            </m:sSub>
          </m:e>
        </m:acc>
      </m:oMath>
      <w:r>
        <w:t xml:space="preserve"> must satisfy </w:t>
      </w:r>
      <w:r w:rsidR="0060638D">
        <w:t>1.097</w:t>
      </w:r>
      <w:r>
        <w:t xml:space="preserve"> mm </w:t>
      </w:r>
      <w:r>
        <w:rPr>
          <w:rFonts w:ascii="Symbol" w:hAnsi="Symbol"/>
        </w:rPr>
        <w:t></w:t>
      </w:r>
      <w:r>
        <w:t xml:space="preserve"> </w:t>
      </w:r>
      <m:oMath>
        <m:acc>
          <m:accPr>
            <m:chr m:val="̅"/>
            <m:ctrlPr>
              <w:rPr>
                <w:rFonts w:ascii="Cambria Math" w:hAnsi="Cambria Math"/>
                <w:i/>
              </w:rPr>
            </m:ctrlPr>
          </m:accPr>
          <m:e>
            <m:sSub>
              <m:sSubPr>
                <m:ctrlPr>
                  <w:rPr>
                    <w:rFonts w:ascii="Cambria Math" w:hAnsi="Cambria Math"/>
                    <w:i/>
                  </w:rPr>
                </m:ctrlPr>
              </m:sSubPr>
              <m:e>
                <m:r>
                  <w:rPr>
                    <w:rFonts w:ascii="Cambria Math" w:hAnsi="Cambria Math"/>
                  </w:rPr>
                  <m:t>d</m:t>
                </m:r>
              </m:e>
              <m:sub>
                <m:r>
                  <w:rPr>
                    <w:rFonts w:ascii="Cambria Math" w:hAnsi="Cambria Math"/>
                  </w:rPr>
                  <m:t>i</m:t>
                </m:r>
              </m:sub>
            </m:sSub>
          </m:e>
        </m:acc>
      </m:oMath>
      <w:r>
        <w:t xml:space="preserve"> </w:t>
      </w:r>
      <w:r>
        <w:rPr>
          <w:rFonts w:ascii="Symbol" w:hAnsi="Symbol"/>
        </w:rPr>
        <w:t></w:t>
      </w:r>
      <w:r>
        <w:t xml:space="preserve"> </w:t>
      </w:r>
      <w:r w:rsidR="0060638D">
        <w:t>1.103</w:t>
      </w:r>
      <w:r>
        <w:t xml:space="preserve"> mm.</w:t>
      </w:r>
      <w:bookmarkEnd w:id="65"/>
      <w:bookmarkEnd w:id="67"/>
      <w:r>
        <w:t xml:space="preserve"> </w:t>
      </w:r>
    </w:p>
    <w:p w14:paraId="1F0E1E0D" w14:textId="10ABC720" w:rsidR="0067210B" w:rsidRDefault="0067210B" w:rsidP="00900154">
      <w:pPr>
        <w:pStyle w:val="Heading3"/>
      </w:pPr>
      <w:bookmarkStart w:id="68" w:name="_Ref456776423"/>
      <w:r w:rsidRPr="0062528D">
        <w:t>The strand diameter</w:t>
      </w:r>
      <w:r>
        <w:t xml:space="preserve"> </w:t>
      </w:r>
      <w:r>
        <w:rPr>
          <w:i/>
        </w:rPr>
        <w:t>d</w:t>
      </w:r>
      <w:r w:rsidRPr="0062528D">
        <w:t xml:space="preserve"> </w:t>
      </w:r>
      <w:r>
        <w:t xml:space="preserve">(see </w:t>
      </w:r>
      <w:r>
        <w:fldChar w:fldCharType="begin"/>
      </w:r>
      <w:r>
        <w:instrText xml:space="preserve"> REF _Ref456710561 \r \h </w:instrText>
      </w:r>
      <w:r>
        <w:fldChar w:fldCharType="separate"/>
      </w:r>
      <w:r w:rsidR="00C75BD8">
        <w:t>4.4</w:t>
      </w:r>
      <w:r>
        <w:fldChar w:fldCharType="end"/>
      </w:r>
      <w:r>
        <w:t xml:space="preserve">) and the ovality </w:t>
      </w:r>
      <w:r>
        <w:rPr>
          <w:i/>
        </w:rPr>
        <w:t>o</w:t>
      </w:r>
      <w:r>
        <w:t xml:space="preserve"> (see </w:t>
      </w:r>
      <w:r>
        <w:fldChar w:fldCharType="begin"/>
      </w:r>
      <w:r>
        <w:instrText xml:space="preserve"> REF _Ref456712682 \r \h </w:instrText>
      </w:r>
      <w:r>
        <w:fldChar w:fldCharType="separate"/>
      </w:r>
      <w:r w:rsidR="00C75BD8">
        <w:t>4.5</w:t>
      </w:r>
      <w:r>
        <w:fldChar w:fldCharType="end"/>
      </w:r>
      <w:r>
        <w:t xml:space="preserve">) </w:t>
      </w:r>
      <w:r w:rsidRPr="003404AE">
        <w:t>shall</w:t>
      </w:r>
      <w:bookmarkEnd w:id="63"/>
      <w:r>
        <w:t xml:space="preserve"> be determined from the average values </w:t>
      </w:r>
      <m:oMath>
        <m:acc>
          <m:accPr>
            <m:chr m:val="̅"/>
            <m:ctrlPr>
              <w:rPr>
                <w:rFonts w:ascii="Cambria Math" w:hAnsi="Cambria Math"/>
                <w:i/>
              </w:rPr>
            </m:ctrlPr>
          </m:accPr>
          <m:e>
            <m:sSub>
              <m:sSubPr>
                <m:ctrlPr>
                  <w:rPr>
                    <w:rFonts w:ascii="Cambria Math" w:hAnsi="Cambria Math"/>
                    <w:i/>
                  </w:rPr>
                </m:ctrlPr>
              </m:sSubPr>
              <m:e>
                <m:r>
                  <w:rPr>
                    <w:rFonts w:ascii="Cambria Math" w:hAnsi="Cambria Math"/>
                  </w:rPr>
                  <m:t>d</m:t>
                </m:r>
              </m:e>
              <m:sub>
                <m:r>
                  <w:rPr>
                    <w:rFonts w:ascii="Cambria Math" w:hAnsi="Cambria Math"/>
                  </w:rPr>
                  <m:t>i</m:t>
                </m:r>
              </m:sub>
            </m:sSub>
          </m:e>
        </m:acc>
      </m:oMath>
      <w:r>
        <w:t xml:space="preserve"> and the resulting det</w:t>
      </w:r>
      <w:proofErr w:type="spellStart"/>
      <w:r>
        <w:t>erminations</w:t>
      </w:r>
      <w:proofErr w:type="spellEnd"/>
      <w:r>
        <w:t xml:space="preserve"> shall be reported.</w:t>
      </w:r>
      <w:bookmarkEnd w:id="68"/>
    </w:p>
    <w:bookmarkEnd w:id="64"/>
    <w:bookmarkEnd w:id="66"/>
    <w:p w14:paraId="7BA39DBA" w14:textId="7A2D1296" w:rsidR="0067210B" w:rsidRDefault="0067210B" w:rsidP="00900154">
      <w:pPr>
        <w:pStyle w:val="Heading3"/>
        <w:numPr>
          <w:ilvl w:val="0"/>
          <w:numId w:val="0"/>
        </w:numPr>
        <w:ind w:left="720"/>
      </w:pPr>
      <w:r>
        <w:t xml:space="preserve">Supplier should note that, while it is possible to determine a strand diameter that meets the target diameter and tolerance by taking an arithmetic average that includes values </w:t>
      </w:r>
      <m:oMath>
        <m:acc>
          <m:accPr>
            <m:chr m:val="̅"/>
            <m:ctrlPr>
              <w:rPr>
                <w:rFonts w:ascii="Cambria Math" w:hAnsi="Cambria Math"/>
                <w:i/>
              </w:rPr>
            </m:ctrlPr>
          </m:accPr>
          <m:e>
            <m:sSub>
              <m:sSubPr>
                <m:ctrlPr>
                  <w:rPr>
                    <w:rFonts w:ascii="Cambria Math" w:hAnsi="Cambria Math"/>
                    <w:i/>
                  </w:rPr>
                </m:ctrlPr>
              </m:sSubPr>
              <m:e>
                <m:r>
                  <w:rPr>
                    <w:rFonts w:ascii="Cambria Math" w:hAnsi="Cambria Math"/>
                  </w:rPr>
                  <m:t>d</m:t>
                </m:r>
              </m:e>
              <m:sub>
                <m:r>
                  <w:rPr>
                    <w:rFonts w:ascii="Cambria Math" w:hAnsi="Cambria Math"/>
                  </w:rPr>
                  <m:t>i</m:t>
                </m:r>
              </m:sub>
            </m:sSub>
          </m:e>
        </m:acc>
      </m:oMath>
      <w:r>
        <w:t xml:space="preserve"> which do not comply with </w:t>
      </w:r>
      <w:r>
        <w:fldChar w:fldCharType="begin"/>
      </w:r>
      <w:r>
        <w:instrText xml:space="preserve"> REF _Ref456776116 \r \h </w:instrText>
      </w:r>
      <w:r>
        <w:fldChar w:fldCharType="separate"/>
      </w:r>
      <w:r w:rsidR="00C75BD8">
        <w:t>5.1.5</w:t>
      </w:r>
      <w:r>
        <w:fldChar w:fldCharType="end"/>
      </w:r>
      <w:r>
        <w:t xml:space="preserve">, </w:t>
      </w:r>
      <w:r w:rsidR="0060638D">
        <w:t>a</w:t>
      </w:r>
      <w:r>
        <w:t xml:space="preserve">cceptance of the strand will be determined by both </w:t>
      </w:r>
      <w:r>
        <w:fldChar w:fldCharType="begin"/>
      </w:r>
      <w:r>
        <w:instrText xml:space="preserve"> REF _Ref456776116 \r \h </w:instrText>
      </w:r>
      <w:r>
        <w:fldChar w:fldCharType="separate"/>
      </w:r>
      <w:r w:rsidR="00C75BD8">
        <w:t>5.1.5</w:t>
      </w:r>
      <w:r>
        <w:fldChar w:fldCharType="end"/>
      </w:r>
      <w:r>
        <w:t xml:space="preserve"> and </w:t>
      </w:r>
      <w:r>
        <w:fldChar w:fldCharType="begin"/>
      </w:r>
      <w:r>
        <w:instrText xml:space="preserve"> REF _Ref456776423 \r \h </w:instrText>
      </w:r>
      <w:r>
        <w:fldChar w:fldCharType="separate"/>
      </w:r>
      <w:r w:rsidR="00C75BD8">
        <w:t>5.1.6</w:t>
      </w:r>
      <w:r>
        <w:fldChar w:fldCharType="end"/>
      </w:r>
      <w:r>
        <w:t>.</w:t>
      </w:r>
    </w:p>
    <w:p w14:paraId="4EE6F3F0" w14:textId="77777777" w:rsidR="0067210B" w:rsidRPr="00062BBB" w:rsidRDefault="0067210B" w:rsidP="00900154">
      <w:pPr>
        <w:pStyle w:val="Heading3"/>
        <w:numPr>
          <w:ilvl w:val="0"/>
          <w:numId w:val="0"/>
        </w:numPr>
        <w:ind w:left="720"/>
      </w:pPr>
      <w:r>
        <w:t>Supplier shall also note that the maximum ovality value is 0.006 mm.</w:t>
      </w:r>
    </w:p>
    <w:p w14:paraId="0D291256" w14:textId="77777777" w:rsidR="0067210B" w:rsidRDefault="0067210B" w:rsidP="0067210B">
      <w:pPr>
        <w:pStyle w:val="Heading2"/>
      </w:pPr>
      <w:bookmarkStart w:id="69" w:name="_Toc410209110"/>
      <w:bookmarkEnd w:id="60"/>
      <w:r>
        <w:t>Superconductor after reaction:</w:t>
      </w:r>
      <w:bookmarkEnd w:id="69"/>
    </w:p>
    <w:p w14:paraId="7BB1200A" w14:textId="77777777" w:rsidR="0067210B" w:rsidRDefault="0067210B" w:rsidP="00900154">
      <w:pPr>
        <w:pStyle w:val="Heading3"/>
      </w:pPr>
      <w:bookmarkStart w:id="70" w:name="_Ref409790861"/>
      <w:r>
        <w:t>The superconductor shall be formed by reaction at high temperature, after cabling and magnet winding have been completed.</w:t>
      </w:r>
    </w:p>
    <w:p w14:paraId="552725AE" w14:textId="77777777" w:rsidR="0067210B" w:rsidRDefault="0067210B" w:rsidP="00900154">
      <w:pPr>
        <w:pStyle w:val="Heading3"/>
      </w:pPr>
      <w:r w:rsidRPr="00A564E7">
        <w:t xml:space="preserve">The superconductor shall be </w:t>
      </w:r>
      <w:r>
        <w:t xml:space="preserve">primarily </w:t>
      </w:r>
      <w:r w:rsidRPr="00A564E7">
        <w:t>Nb</w:t>
      </w:r>
      <w:r w:rsidRPr="00A564E7">
        <w:rPr>
          <w:vertAlign w:val="subscript"/>
        </w:rPr>
        <w:t>3</w:t>
      </w:r>
      <w:r>
        <w:t>Sn.</w:t>
      </w:r>
      <w:r w:rsidRPr="00A564E7">
        <w:t xml:space="preserve"> </w:t>
      </w:r>
    </w:p>
    <w:p w14:paraId="59DD5C66" w14:textId="77777777" w:rsidR="0067210B" w:rsidRDefault="0067210B" w:rsidP="00900154">
      <w:pPr>
        <w:pStyle w:val="Heading3"/>
      </w:pPr>
      <w:bookmarkStart w:id="71" w:name="_Ref410036850"/>
      <w:r>
        <w:t xml:space="preserve">The superconducting phase shall be </w:t>
      </w:r>
      <w:r w:rsidRPr="00A564E7">
        <w:t xml:space="preserve">alloyed with up to 2% </w:t>
      </w:r>
      <w:proofErr w:type="spellStart"/>
      <w:r w:rsidRPr="00A564E7">
        <w:t>Ti</w:t>
      </w:r>
      <w:proofErr w:type="spellEnd"/>
      <w:r w:rsidRPr="00A564E7">
        <w:t xml:space="preserve"> by atomic fraction in order to enhance the high field performance.</w:t>
      </w:r>
      <w:bookmarkEnd w:id="70"/>
      <w:bookmarkEnd w:id="71"/>
    </w:p>
    <w:p w14:paraId="1C2EAD3E" w14:textId="77777777" w:rsidR="0067210B" w:rsidRPr="001D7380" w:rsidRDefault="0067210B" w:rsidP="0067210B">
      <w:pPr>
        <w:pStyle w:val="Heading2"/>
      </w:pPr>
      <w:bookmarkStart w:id="72" w:name="_Ref410127830"/>
      <w:bookmarkStart w:id="73" w:name="_Toc410209111"/>
      <w:r>
        <w:t>Conductor materials and construction prior to reaction</w:t>
      </w:r>
      <w:r w:rsidRPr="00A723DA">
        <w:t>:</w:t>
      </w:r>
      <w:bookmarkEnd w:id="61"/>
      <w:bookmarkEnd w:id="72"/>
      <w:bookmarkEnd w:id="73"/>
      <w:r w:rsidRPr="001D7380">
        <w:t xml:space="preserve">  </w:t>
      </w:r>
    </w:p>
    <w:p w14:paraId="45B8E47C" w14:textId="571E6A00" w:rsidR="0067210B" w:rsidRPr="00EF58DE" w:rsidRDefault="0067210B" w:rsidP="00900154">
      <w:pPr>
        <w:pStyle w:val="Heading3"/>
      </w:pPr>
      <w:r w:rsidRPr="00EF58DE">
        <w:t xml:space="preserve">The superconductor shall be formed within sub-elements that contain copper, niobium, tin, and other requirements to form the alloyed superconductor as in </w:t>
      </w:r>
      <w:r w:rsidRPr="00EF58DE">
        <w:fldChar w:fldCharType="begin"/>
      </w:r>
      <w:r w:rsidRPr="00EF58DE">
        <w:instrText xml:space="preserve"> REF _Ref410036850 \r \h </w:instrText>
      </w:r>
      <w:r w:rsidRPr="00EF58DE">
        <w:fldChar w:fldCharType="separate"/>
      </w:r>
      <w:r w:rsidR="00C75BD8">
        <w:t>5.2.3</w:t>
      </w:r>
      <w:r w:rsidRPr="00EF58DE">
        <w:fldChar w:fldCharType="end"/>
      </w:r>
      <w:r w:rsidRPr="00EF58DE">
        <w:t xml:space="preserve">. </w:t>
      </w:r>
    </w:p>
    <w:p w14:paraId="61225564" w14:textId="4C6CC805" w:rsidR="0067210B" w:rsidRDefault="0067210B" w:rsidP="00900154">
      <w:pPr>
        <w:pStyle w:val="Heading3"/>
      </w:pPr>
      <w:r w:rsidRPr="001D7380">
        <w:t xml:space="preserve">The </w:t>
      </w:r>
      <w:r>
        <w:t xml:space="preserve">sub-elements (see </w:t>
      </w:r>
      <w:r>
        <w:fldChar w:fldCharType="begin"/>
      </w:r>
      <w:r>
        <w:instrText xml:space="preserve"> REF _Ref410050033 \r \h </w:instrText>
      </w:r>
      <w:r>
        <w:fldChar w:fldCharType="separate"/>
      </w:r>
      <w:r w:rsidR="00C75BD8">
        <w:t>4.1</w:t>
      </w:r>
      <w:r>
        <w:fldChar w:fldCharType="end"/>
      </w:r>
      <w:r>
        <w:t>) shall be</w:t>
      </w:r>
      <w:r w:rsidRPr="001D7380">
        <w:t xml:space="preserve"> </w:t>
      </w:r>
      <w:r>
        <w:t>independent and self-contained and surrounded by individual diffusion barriers</w:t>
      </w:r>
      <w:r w:rsidRPr="001D7380">
        <w:t>.</w:t>
      </w:r>
      <w:r>
        <w:t xml:space="preserve">  Strand designs that use a single diffusion barrier around a collection of sub-elements, or intend sharing of reactants between sub-elements, are not acceptable.</w:t>
      </w:r>
      <w:r w:rsidRPr="001D7380">
        <w:t xml:space="preserve"> </w:t>
      </w:r>
    </w:p>
    <w:p w14:paraId="7D32D031" w14:textId="1D8C9992" w:rsidR="0067210B" w:rsidRDefault="0067210B" w:rsidP="00900154">
      <w:pPr>
        <w:pStyle w:val="Heading3"/>
      </w:pPr>
      <w:r>
        <w:t xml:space="preserve">The sub-element count shall be equal to </w:t>
      </w:r>
      <w:r w:rsidR="00B94FBE">
        <w:t>162</w:t>
      </w:r>
      <w:r>
        <w:t xml:space="preserve">.  </w:t>
      </w:r>
    </w:p>
    <w:p w14:paraId="2169D31A" w14:textId="3B6096EC" w:rsidR="0067210B" w:rsidRDefault="0067210B" w:rsidP="00900154">
      <w:pPr>
        <w:pStyle w:val="Heading3"/>
        <w:numPr>
          <w:ilvl w:val="0"/>
          <w:numId w:val="0"/>
        </w:numPr>
        <w:ind w:left="720"/>
      </w:pPr>
      <w:r>
        <w:t xml:space="preserve">Supplier shall notice that this count defines an average sub-element diameter in micrometers, determined by the expression </w:t>
      </w:r>
      <w:r w:rsidR="00F46D98">
        <w:t>110</w:t>
      </w:r>
      <w:r>
        <w:t>0 [</w:t>
      </w:r>
      <w:r>
        <w:rPr>
          <w:i/>
        </w:rPr>
        <w:t>N</w:t>
      </w:r>
      <w:r>
        <w:t xml:space="preserve"> (1 + </w:t>
      </w:r>
      <w:r>
        <w:rPr>
          <w:i/>
        </w:rPr>
        <w:t>R</w:t>
      </w:r>
      <w:r w:rsidRPr="00710DB5">
        <w:t>)]</w:t>
      </w:r>
      <w:r>
        <w:rPr>
          <w:vertAlign w:val="superscript"/>
        </w:rPr>
        <w:t>–0.5</w:t>
      </w:r>
      <w:r w:rsidRPr="00710DB5">
        <w:t xml:space="preserve">, </w:t>
      </w:r>
      <w:r>
        <w:t xml:space="preserve">where </w:t>
      </w:r>
      <w:r>
        <w:rPr>
          <w:i/>
        </w:rPr>
        <w:t>N</w:t>
      </w:r>
      <w:r>
        <w:t xml:space="preserve"> is the number of sub-elements and </w:t>
      </w:r>
      <w:r>
        <w:rPr>
          <w:i/>
        </w:rPr>
        <w:t>R</w:t>
      </w:r>
      <w:r>
        <w:t xml:space="preserve"> is the measured copper to non-copper ratio per </w:t>
      </w:r>
      <w:r>
        <w:fldChar w:fldCharType="begin"/>
      </w:r>
      <w:r>
        <w:instrText xml:space="preserve"> REF _Ref404696345 \r \h </w:instrText>
      </w:r>
      <w:r>
        <w:fldChar w:fldCharType="separate"/>
      </w:r>
      <w:r w:rsidR="00C75BD8">
        <w:t>5.4</w:t>
      </w:r>
      <w:r>
        <w:fldChar w:fldCharType="end"/>
      </w:r>
      <w:r>
        <w:t xml:space="preserve">.  The average defined by a count of </w:t>
      </w:r>
      <w:r w:rsidR="00B94FBE">
        <w:t>162</w:t>
      </w:r>
      <w:r>
        <w:t xml:space="preserve">, a diameter per </w:t>
      </w:r>
      <w:r>
        <w:fldChar w:fldCharType="begin"/>
      </w:r>
      <w:r>
        <w:instrText xml:space="preserve"> REF _Ref417462085 \r \h </w:instrText>
      </w:r>
      <w:r>
        <w:fldChar w:fldCharType="separate"/>
      </w:r>
      <w:r w:rsidR="00C75BD8">
        <w:t>5.1.1</w:t>
      </w:r>
      <w:r>
        <w:fldChar w:fldCharType="end"/>
      </w:r>
      <w:r>
        <w:t xml:space="preserve">, and </w:t>
      </w:r>
      <w:r>
        <w:rPr>
          <w:i/>
        </w:rPr>
        <w:t>R</w:t>
      </w:r>
      <w:r>
        <w:t xml:space="preserve"> per </w:t>
      </w:r>
      <w:r>
        <w:fldChar w:fldCharType="begin"/>
      </w:r>
      <w:r>
        <w:instrText xml:space="preserve"> REF _Ref417462224 \r \h </w:instrText>
      </w:r>
      <w:r>
        <w:fldChar w:fldCharType="separate"/>
      </w:r>
      <w:r w:rsidR="00C75BD8">
        <w:t>5.4.1</w:t>
      </w:r>
      <w:r>
        <w:fldChar w:fldCharType="end"/>
      </w:r>
      <w:r>
        <w:t xml:space="preserve"> is thus </w:t>
      </w:r>
      <w:r w:rsidR="00B94FBE">
        <w:t>63</w:t>
      </w:r>
      <w:r>
        <w:t xml:space="preserve"> µm.  </w:t>
      </w:r>
    </w:p>
    <w:p w14:paraId="73D4441D" w14:textId="77777777" w:rsidR="0067210B" w:rsidRDefault="0067210B" w:rsidP="00900154">
      <w:pPr>
        <w:pStyle w:val="Heading3"/>
      </w:pPr>
      <w:r>
        <w:t>Supplier</w:t>
      </w:r>
      <w:r w:rsidRPr="001D7380">
        <w:t xml:space="preserve"> shall have liberty to designate </w:t>
      </w:r>
      <w:r>
        <w:t xml:space="preserve">material grade and </w:t>
      </w:r>
      <w:r w:rsidRPr="001D7380">
        <w:t xml:space="preserve">other conditions of sub-element raw materials, such as grain size, hardness, annealing temper, </w:t>
      </w:r>
      <w:r>
        <w:t xml:space="preserve">and so on </w:t>
      </w:r>
      <w:r w:rsidRPr="001D7380">
        <w:t>to suit the manufacturing process.</w:t>
      </w:r>
      <w:r>
        <w:t xml:space="preserve">  </w:t>
      </w:r>
    </w:p>
    <w:p w14:paraId="31460B2A" w14:textId="531DD6FE" w:rsidR="0067210B" w:rsidRPr="002C72F1" w:rsidRDefault="0067210B" w:rsidP="00900154">
      <w:pPr>
        <w:pStyle w:val="Heading3"/>
        <w:numPr>
          <w:ilvl w:val="0"/>
          <w:numId w:val="0"/>
        </w:numPr>
        <w:ind w:left="720"/>
      </w:pPr>
      <w:r>
        <w:lastRenderedPageBreak/>
        <w:t xml:space="preserve">Use of Grade 1 niobium, per </w:t>
      </w:r>
      <w:r>
        <w:fldChar w:fldCharType="begin"/>
      </w:r>
      <w:r>
        <w:instrText xml:space="preserve"> REF _Ref456776932 \h </w:instrText>
      </w:r>
      <w:r>
        <w:fldChar w:fldCharType="separate"/>
      </w:r>
      <w:r w:rsidR="00C75BD8" w:rsidRPr="001D7380">
        <w:t xml:space="preserve">ASTM B392: </w:t>
      </w:r>
      <w:r w:rsidR="00C75BD8" w:rsidRPr="00150887">
        <w:rPr>
          <w:i/>
        </w:rPr>
        <w:t>Standard Specification for Niobium and Niobium Alloy Bar, Rod, and Wire</w:t>
      </w:r>
      <w:r>
        <w:fldChar w:fldCharType="end"/>
      </w:r>
      <w:r>
        <w:t xml:space="preserve"> or </w:t>
      </w:r>
      <w:r>
        <w:fldChar w:fldCharType="begin"/>
      </w:r>
      <w:r>
        <w:instrText xml:space="preserve"> REF _Ref456776948 \h </w:instrText>
      </w:r>
      <w:r>
        <w:fldChar w:fldCharType="separate"/>
      </w:r>
      <w:r w:rsidR="00C75BD8" w:rsidRPr="001D7380">
        <w:t>ASTM B39</w:t>
      </w:r>
      <w:r w:rsidR="00C75BD8">
        <w:t>3</w:t>
      </w:r>
      <w:r w:rsidR="00C75BD8" w:rsidRPr="001D7380">
        <w:t xml:space="preserve">: </w:t>
      </w:r>
      <w:r w:rsidR="00C75BD8" w:rsidRPr="00150887">
        <w:rPr>
          <w:i/>
        </w:rPr>
        <w:t>Standard Specification for Niobium and Niobium Alloy Strip, Sheet, and Plate</w:t>
      </w:r>
      <w:r>
        <w:fldChar w:fldCharType="end"/>
      </w:r>
      <w:r>
        <w:fldChar w:fldCharType="begin"/>
      </w:r>
      <w:r>
        <w:instrText xml:space="preserve"> REF _Ref456706034 \r \h </w:instrText>
      </w:r>
      <w:r>
        <w:fldChar w:fldCharType="separate"/>
      </w:r>
      <w:r w:rsidR="00C75BD8">
        <w:t>2.8</w:t>
      </w:r>
      <w:r>
        <w:fldChar w:fldCharType="end"/>
      </w:r>
      <w:r>
        <w:t xml:space="preserve"> is strongly recommended.</w:t>
      </w:r>
    </w:p>
    <w:p w14:paraId="67272332" w14:textId="414C2732" w:rsidR="0067210B" w:rsidRDefault="0067210B" w:rsidP="00900154">
      <w:pPr>
        <w:pStyle w:val="Heading3"/>
      </w:pPr>
      <w:r w:rsidRPr="001D7380">
        <w:t xml:space="preserve">The </w:t>
      </w:r>
      <w:r>
        <w:t xml:space="preserve">sub-elements shall be surrounded by copper stabilizer.  The stabilizer </w:t>
      </w:r>
      <w:r w:rsidRPr="001D7380">
        <w:t xml:space="preserve">shall be oxygen free high conductivity </w:t>
      </w:r>
      <w:r>
        <w:t xml:space="preserve">grade </w:t>
      </w:r>
      <w:r w:rsidRPr="001D7380">
        <w:t>(</w:t>
      </w:r>
      <w:r>
        <w:t xml:space="preserve">also known as </w:t>
      </w:r>
      <w:r w:rsidRPr="001D7380">
        <w:t>electrolytic</w:t>
      </w:r>
      <w:r>
        <w:t xml:space="preserve"> grade</w:t>
      </w:r>
      <w:r w:rsidRPr="001D7380">
        <w:t>) copper per</w:t>
      </w:r>
      <w:r>
        <w:t xml:space="preserve"> </w:t>
      </w:r>
      <w:r>
        <w:fldChar w:fldCharType="begin"/>
      </w:r>
      <w:r>
        <w:instrText xml:space="preserve"> REF _Ref410050411 \h </w:instrText>
      </w:r>
      <w:r>
        <w:fldChar w:fldCharType="separate"/>
      </w:r>
      <w:smartTag w:uri="urn:schemas-microsoft-com:office:smarttags" w:element="stockticker">
        <w:r w:rsidR="00C75BD8" w:rsidRPr="001D7380">
          <w:t>ASTM</w:t>
        </w:r>
      </w:smartTag>
      <w:r w:rsidR="00C75BD8" w:rsidRPr="001D7380">
        <w:t xml:space="preserve"> B170: </w:t>
      </w:r>
      <w:r w:rsidR="00C75BD8" w:rsidRPr="00150887">
        <w:rPr>
          <w:i/>
        </w:rPr>
        <w:t>Standard Specification for Oxygen-Free Electrolytic Copper—Refinery Shapes</w:t>
      </w:r>
      <w:r>
        <w:fldChar w:fldCharType="end"/>
      </w:r>
      <w:r>
        <w:t>.  C</w:t>
      </w:r>
      <w:r w:rsidRPr="001D7380">
        <w:t>opper tubes, stacking elements, shims, and any other pieces intended for stability shall also be able to meet</w:t>
      </w:r>
      <w:r>
        <w:t xml:space="preserve"> </w:t>
      </w:r>
      <w:r>
        <w:fldChar w:fldCharType="begin"/>
      </w:r>
      <w:r>
        <w:instrText xml:space="preserve"> REF _Ref410050431 \h </w:instrText>
      </w:r>
      <w:r>
        <w:fldChar w:fldCharType="separate"/>
      </w:r>
      <w:r w:rsidR="00C75BD8" w:rsidRPr="001D7380">
        <w:t xml:space="preserve">ASTM F86: </w:t>
      </w:r>
      <w:r w:rsidR="00C75BD8" w:rsidRPr="00150887">
        <w:rPr>
          <w:i/>
        </w:rPr>
        <w:t>Standard Specification for Oxygen-Free Copper in Wrought Forms for Electron Devices</w:t>
      </w:r>
      <w:r>
        <w:fldChar w:fldCharType="end"/>
      </w:r>
      <w:r w:rsidRPr="001D7380">
        <w:t>, class 2 or better</w:t>
      </w:r>
      <w:r>
        <w:t>,</w:t>
      </w:r>
      <w:r w:rsidRPr="001D7380">
        <w:t xml:space="preserve"> after component fabrication and prior to billet assembly.</w:t>
      </w:r>
    </w:p>
    <w:p w14:paraId="637E264E" w14:textId="1171E130" w:rsidR="0067210B" w:rsidRDefault="0067210B" w:rsidP="00900154">
      <w:pPr>
        <w:pStyle w:val="Heading3"/>
      </w:pPr>
      <w:r>
        <w:t xml:space="preserve">A central area of at least </w:t>
      </w:r>
      <w:r w:rsidR="00327ECF">
        <w:t>2.5</w:t>
      </w:r>
      <w:r>
        <w:t xml:space="preserve">% of the strand cross section shall be copper stabilizer.  Manufacturer shall note that </w:t>
      </w:r>
      <w:r w:rsidR="00327ECF">
        <w:t>2.6</w:t>
      </w:r>
      <w:r>
        <w:t xml:space="preserve">% is equivalent to 7 of 169 elements as an example of a stacking pattern with hexagonal symmetry.  </w:t>
      </w:r>
    </w:p>
    <w:p w14:paraId="2EE4BDAE" w14:textId="2FAD7F6E" w:rsidR="0067210B" w:rsidRPr="006664C2" w:rsidRDefault="0067210B" w:rsidP="0067210B">
      <w:pPr>
        <w:pStyle w:val="Heading3"/>
      </w:pPr>
      <w:r>
        <w:t>Supplier shall provide photo-micrographs of the cross-section of final size wire sufficient to distinguish all assembly details.</w:t>
      </w:r>
    </w:p>
    <w:bookmarkStart w:id="74" w:name="_Ref404696345"/>
    <w:bookmarkStart w:id="75" w:name="_Toc410209112"/>
    <w:bookmarkStart w:id="76" w:name="_Ref399841954"/>
    <w:p w14:paraId="184D9946" w14:textId="77777777" w:rsidR="0067210B" w:rsidRPr="006B699E" w:rsidRDefault="0067210B" w:rsidP="0067210B">
      <w:pPr>
        <w:pStyle w:val="Heading2"/>
      </w:pPr>
      <w:r>
        <w:rPr>
          <w:noProof/>
        </w:rPr>
        <mc:AlternateContent>
          <mc:Choice Requires="wps">
            <w:drawing>
              <wp:anchor distT="0" distB="0" distL="114300" distR="114300" simplePos="0" relativeHeight="251660288" behindDoc="0" locked="0" layoutInCell="1" allowOverlap="1" wp14:anchorId="1F119B57" wp14:editId="018122B7">
                <wp:simplePos x="0" y="0"/>
                <wp:positionH relativeFrom="margin">
                  <wp:align>center</wp:align>
                </wp:positionH>
                <wp:positionV relativeFrom="margin">
                  <wp:align>top</wp:align>
                </wp:positionV>
                <wp:extent cx="5486400" cy="2295525"/>
                <wp:effectExtent l="0" t="0" r="0" b="9525"/>
                <wp:wrapSquare wrapText="bothSides"/>
                <wp:docPr id="11" name="Text Box 11"/>
                <wp:cNvGraphicFramePr/>
                <a:graphic xmlns:a="http://schemas.openxmlformats.org/drawingml/2006/main">
                  <a:graphicData uri="http://schemas.microsoft.com/office/word/2010/wordprocessingShape">
                    <wps:wsp>
                      <wps:cNvSpPr txBox="1"/>
                      <wps:spPr>
                        <a:xfrm>
                          <a:off x="0" y="0"/>
                          <a:ext cx="5486400" cy="22955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41ED70F" w14:textId="77777777" w:rsidR="00327ECF" w:rsidRDefault="00327ECF" w:rsidP="0067210B">
                            <w:pPr>
                              <w:jc w:val="center"/>
                            </w:pPr>
                            <w:r w:rsidRPr="00843914">
                              <w:rPr>
                                <w:noProof/>
                              </w:rPr>
                              <w:drawing>
                                <wp:inline distT="0" distB="0" distL="0" distR="0" wp14:anchorId="01B9E937" wp14:editId="54349209">
                                  <wp:extent cx="5480050" cy="1701764"/>
                                  <wp:effectExtent l="0" t="0" r="635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80050" cy="1701764"/>
                                          </a:xfrm>
                                          <a:prstGeom prst="rect">
                                            <a:avLst/>
                                          </a:prstGeom>
                                          <a:noFill/>
                                          <a:ln>
                                            <a:noFill/>
                                          </a:ln>
                                        </pic:spPr>
                                      </pic:pic>
                                    </a:graphicData>
                                  </a:graphic>
                                </wp:inline>
                              </w:drawing>
                            </w:r>
                          </w:p>
                          <w:p w14:paraId="2E2D0802" w14:textId="2DFE7667" w:rsidR="00327ECF" w:rsidRDefault="00327ECF" w:rsidP="0067210B">
                            <w:r>
                              <w:t>Figure 2.  Schematic describing the location of verification samples for each billet and additional verification samples associated with wire breaks.</w:t>
                            </w:r>
                          </w:p>
                          <w:p w14:paraId="1098F8FD" w14:textId="77777777" w:rsidR="00327ECF" w:rsidRDefault="00327ECF" w:rsidP="0067210B"/>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119B57" id="Text Box 11" o:spid="_x0000_s1027" type="#_x0000_t202" style="position:absolute;left:0;text-align:left;margin-left:0;margin-top:0;width:6in;height:180.75pt;z-index:251660288;visibility:visible;mso-wrap-style:square;mso-width-percent:0;mso-height-percent:0;mso-wrap-distance-left:9pt;mso-wrap-distance-top:0;mso-wrap-distance-right:9pt;mso-wrap-distance-bottom:0;mso-position-horizontal:center;mso-position-horizontal-relative:margin;mso-position-vertical:top;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" fillcolor="white [3201]" stroked="f" strokeweight=".5pt">
                <v:textbox inset="0,,0">
                  <w:txbxContent>
                    <w:p w14:paraId="041ED70F" w14:textId="77777777" w:rsidR="00327ECF" w:rsidRDefault="00327ECF" w:rsidP="0067210B">
                      <w:pPr>
                        <w:jc w:val="center"/>
                      </w:pPr>
                      <w:r w:rsidRPr="00843914">
                        <w:rPr>
                          <w:noProof/>
                        </w:rPr>
                        <w:drawing>
                          <wp:inline distT="0" distB="0" distL="0" distR="0" wp14:anchorId="01B9E937" wp14:editId="54349209">
                            <wp:extent cx="5480050" cy="1701764"/>
                            <wp:effectExtent l="0" t="0" r="635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80050" cy="1701764"/>
                                    </a:xfrm>
                                    <a:prstGeom prst="rect">
                                      <a:avLst/>
                                    </a:prstGeom>
                                    <a:noFill/>
                                    <a:ln>
                                      <a:noFill/>
                                    </a:ln>
                                  </pic:spPr>
                                </pic:pic>
                              </a:graphicData>
                            </a:graphic>
                          </wp:inline>
                        </w:drawing>
                      </w:r>
                    </w:p>
                    <w:p w14:paraId="2E2D0802" w14:textId="2DFE7667" w:rsidR="00327ECF" w:rsidRDefault="00327ECF" w:rsidP="0067210B">
                      <w:r>
                        <w:t>Figure 2.  Schematic describing the location of verification samples for each billet and additional verification samples associated with wire breaks.</w:t>
                      </w:r>
                    </w:p>
                    <w:p w14:paraId="1098F8FD" w14:textId="77777777" w:rsidR="00327ECF" w:rsidRDefault="00327ECF" w:rsidP="0067210B"/>
                  </w:txbxContent>
                </v:textbox>
                <w10:wrap type="square" anchorx="margin" anchory="margin"/>
              </v:shape>
            </w:pict>
          </mc:Fallback>
        </mc:AlternateContent>
      </w:r>
      <w:r w:rsidRPr="006B699E">
        <w:t xml:space="preserve"> Copper </w:t>
      </w:r>
      <w:r>
        <w:t xml:space="preserve">Fraction and Copper </w:t>
      </w:r>
      <w:r w:rsidRPr="006B699E">
        <w:t>to Non-Copper Volume Ratio:</w:t>
      </w:r>
      <w:bookmarkEnd w:id="74"/>
      <w:bookmarkEnd w:id="75"/>
      <w:r w:rsidRPr="006B699E">
        <w:t xml:space="preserve"> </w:t>
      </w:r>
    </w:p>
    <w:p w14:paraId="73FDDCD5" w14:textId="3F188580" w:rsidR="0067210B" w:rsidRDefault="0067210B" w:rsidP="00900154">
      <w:pPr>
        <w:pStyle w:val="Heading3"/>
      </w:pPr>
      <w:bookmarkStart w:id="77" w:name="_Ref415123010"/>
      <w:bookmarkStart w:id="78" w:name="_Ref417462224"/>
      <w:r>
        <w:t xml:space="preserve">The copper volume fraction of the conductor shall not be less than </w:t>
      </w:r>
      <w:r w:rsidR="00282962">
        <w:t>44</w:t>
      </w:r>
      <w:r>
        <w:t>.4 %</w:t>
      </w:r>
      <w:bookmarkEnd w:id="77"/>
      <w:r>
        <w:t xml:space="preserve"> over any portion of wire.</w:t>
      </w:r>
      <w:bookmarkEnd w:id="78"/>
      <w:r>
        <w:t xml:space="preserve">  </w:t>
      </w:r>
    </w:p>
    <w:p w14:paraId="6D0DBF60" w14:textId="739BEF6F" w:rsidR="0067210B" w:rsidRDefault="0067210B" w:rsidP="00900154">
      <w:pPr>
        <w:pStyle w:val="Heading3"/>
      </w:pPr>
      <w:r>
        <w:t xml:space="preserve">The copper to non-copper ratio </w:t>
      </w:r>
      <w:r>
        <w:rPr>
          <w:i/>
        </w:rPr>
        <w:t>R</w:t>
      </w:r>
      <w:r>
        <w:t xml:space="preserve"> shall satisfy </w:t>
      </w:r>
      <w:r w:rsidR="00B94FBE">
        <w:t>0.8</w:t>
      </w:r>
      <w:r>
        <w:t xml:space="preserve"> </w:t>
      </w:r>
      <w:r>
        <w:rPr>
          <w:rFonts w:ascii="Symbol" w:hAnsi="Symbol"/>
        </w:rPr>
        <w:t></w:t>
      </w:r>
      <w:r>
        <w:t xml:space="preserve"> </w:t>
      </w:r>
      <w:r>
        <w:rPr>
          <w:i/>
        </w:rPr>
        <w:t>R</w:t>
      </w:r>
      <w:r>
        <w:t xml:space="preserve"> </w:t>
      </w:r>
      <w:r>
        <w:rPr>
          <w:rFonts w:ascii="Symbol" w:hAnsi="Symbol"/>
        </w:rPr>
        <w:t></w:t>
      </w:r>
      <w:r>
        <w:t xml:space="preserve"> 1.</w:t>
      </w:r>
      <w:r w:rsidR="00B94FBE">
        <w:t>0</w:t>
      </w:r>
      <w:r>
        <w:t xml:space="preserve">.  </w:t>
      </w:r>
    </w:p>
    <w:p w14:paraId="4373CA93" w14:textId="08188D04" w:rsidR="0067210B" w:rsidRPr="00661753" w:rsidRDefault="0067210B" w:rsidP="00900154">
      <w:pPr>
        <w:pStyle w:val="Heading3"/>
      </w:pPr>
      <w:r>
        <w:fldChar w:fldCharType="begin"/>
      </w:r>
      <w:r>
        <w:instrText xml:space="preserve"> REF _Ref410050286 \h </w:instrText>
      </w:r>
      <w:r>
        <w:fldChar w:fldCharType="separate"/>
      </w:r>
      <w:r w:rsidR="00C75BD8" w:rsidRPr="001D7380">
        <w:t>International Standard IEC 61788-12:</w:t>
      </w:r>
      <w:r w:rsidR="00C75BD8">
        <w:t xml:space="preserve"> </w:t>
      </w:r>
      <w:r w:rsidR="00C75BD8" w:rsidRPr="00150887">
        <w:rPr>
          <w:i/>
        </w:rPr>
        <w:t>Copper to non-copper volume ratio of Nb</w:t>
      </w:r>
      <w:r w:rsidR="00C75BD8" w:rsidRPr="00150887">
        <w:rPr>
          <w:i/>
          <w:vertAlign w:val="subscript"/>
        </w:rPr>
        <w:t>3</w:t>
      </w:r>
      <w:r w:rsidR="00C75BD8" w:rsidRPr="00150887">
        <w:rPr>
          <w:i/>
        </w:rPr>
        <w:t>Sn composite superconducting wires</w:t>
      </w:r>
      <w:r>
        <w:fldChar w:fldCharType="end"/>
      </w:r>
      <w:r>
        <w:t>, or Appendix B of that standard,</w:t>
      </w:r>
      <w:r w:rsidR="00327ECF">
        <w:t xml:space="preserve"> or similar methods to be accepted by the procurer,</w:t>
      </w:r>
      <w:r>
        <w:t xml:space="preserve"> </w:t>
      </w:r>
      <w:r w:rsidRPr="00661753">
        <w:t xml:space="preserve">shall be used to determine the copper to non-copper volume ratio.  </w:t>
      </w:r>
      <w:bookmarkEnd w:id="76"/>
    </w:p>
    <w:p w14:paraId="4C2F3741" w14:textId="77777777" w:rsidR="0067210B" w:rsidRPr="006B699E" w:rsidRDefault="0067210B" w:rsidP="0067210B">
      <w:pPr>
        <w:pStyle w:val="Heading2"/>
      </w:pPr>
      <w:bookmarkStart w:id="79" w:name="_Ref404697665"/>
      <w:bookmarkStart w:id="80" w:name="_Toc410209113"/>
      <w:r w:rsidRPr="006B699E">
        <w:t>Stand Twist:</w:t>
      </w:r>
      <w:bookmarkEnd w:id="79"/>
      <w:bookmarkEnd w:id="80"/>
      <w:r w:rsidRPr="006B699E">
        <w:t xml:space="preserve"> </w:t>
      </w:r>
    </w:p>
    <w:p w14:paraId="4A6787E3" w14:textId="77777777" w:rsidR="0067210B" w:rsidRPr="001D7380" w:rsidRDefault="0067210B" w:rsidP="00900154">
      <w:pPr>
        <w:pStyle w:val="Heading3"/>
      </w:pPr>
      <w:r w:rsidRPr="001D7380">
        <w:t xml:space="preserve">All strands shall be twisted such that all sub-elements follow the required rotation. </w:t>
      </w:r>
    </w:p>
    <w:p w14:paraId="00D4F00D" w14:textId="77777777" w:rsidR="0067210B" w:rsidRPr="001D7380" w:rsidRDefault="0067210B" w:rsidP="00900154">
      <w:pPr>
        <w:pStyle w:val="Heading3"/>
      </w:pPr>
      <w:r w:rsidRPr="001D7380">
        <w:t xml:space="preserve">The strand shall be twisted before the final sizing die. </w:t>
      </w:r>
    </w:p>
    <w:p w14:paraId="0409DB5F" w14:textId="38D18262" w:rsidR="0067210B" w:rsidRDefault="0067210B" w:rsidP="00900154">
      <w:pPr>
        <w:pStyle w:val="Heading3"/>
      </w:pPr>
      <w:r>
        <w:t xml:space="preserve">The twist pitch </w:t>
      </w:r>
      <w:r>
        <w:rPr>
          <w:i/>
        </w:rPr>
        <w:t>p</w:t>
      </w:r>
      <w:r>
        <w:t xml:space="preserve"> shall satisfy 16.0 mm </w:t>
      </w:r>
      <w:r>
        <w:rPr>
          <w:rFonts w:ascii="Symbol" w:hAnsi="Symbol"/>
        </w:rPr>
        <w:t></w:t>
      </w:r>
      <w:r>
        <w:t xml:space="preserve"> </w:t>
      </w:r>
      <w:r>
        <w:rPr>
          <w:i/>
        </w:rPr>
        <w:t>p</w:t>
      </w:r>
      <w:r>
        <w:t xml:space="preserve"> </w:t>
      </w:r>
      <w:r>
        <w:rPr>
          <w:rFonts w:ascii="Symbol" w:hAnsi="Symbol"/>
        </w:rPr>
        <w:t></w:t>
      </w:r>
      <w:r>
        <w:t xml:space="preserve"> </w:t>
      </w:r>
      <w:r w:rsidR="00AF1599">
        <w:t>22</w:t>
      </w:r>
      <w:r>
        <w:t>.0 mm.</w:t>
      </w:r>
    </w:p>
    <w:p w14:paraId="09318B48" w14:textId="77777777" w:rsidR="0067210B" w:rsidRPr="00EA141A" w:rsidRDefault="0067210B" w:rsidP="00900154">
      <w:pPr>
        <w:pStyle w:val="Heading3"/>
      </w:pPr>
      <w:r>
        <w:t>The twist shall be a right-handed screw with respect to the wire axis.</w:t>
      </w:r>
    </w:p>
    <w:p w14:paraId="4CB8F7DE" w14:textId="3F4F6747" w:rsidR="0067210B" w:rsidRPr="00661753" w:rsidRDefault="0067210B" w:rsidP="00900154">
      <w:pPr>
        <w:pStyle w:val="Heading3"/>
      </w:pPr>
      <w:r w:rsidRPr="00661753">
        <w:t>The presence, pitch, and direction of the strand twisting shall be verified by light acid etching and microscopy observation</w:t>
      </w:r>
      <w:r w:rsidR="00327ECF">
        <w:t>, or other established methods to be accepted by the procurer</w:t>
      </w:r>
      <w:r w:rsidRPr="00661753">
        <w:t>.</w:t>
      </w:r>
      <w:r>
        <w:t xml:space="preserve">  Photographs of these observations shall be included in </w:t>
      </w:r>
      <w:r w:rsidR="00F46D98">
        <w:t>the supplier quality control (QC)</w:t>
      </w:r>
      <w:r>
        <w:t xml:space="preserve"> data</w:t>
      </w:r>
      <w:r w:rsidR="00F46D98">
        <w:t xml:space="preserve"> package submitted for shipment </w:t>
      </w:r>
      <w:r w:rsidR="00900154">
        <w:t>approval</w:t>
      </w:r>
      <w:r>
        <w:t>.</w:t>
      </w:r>
    </w:p>
    <w:p w14:paraId="6F09EEBF" w14:textId="77777777" w:rsidR="0067210B" w:rsidRPr="001D7380" w:rsidRDefault="0067210B" w:rsidP="0067210B">
      <w:pPr>
        <w:pStyle w:val="Heading2"/>
      </w:pPr>
      <w:bookmarkStart w:id="81" w:name="_Ref404697803"/>
      <w:bookmarkStart w:id="82" w:name="_Toc410209114"/>
      <w:r>
        <w:lastRenderedPageBreak/>
        <w:t>Length of strand pieces</w:t>
      </w:r>
      <w:bookmarkEnd w:id="81"/>
      <w:r>
        <w:t>:</w:t>
      </w:r>
      <w:bookmarkEnd w:id="82"/>
      <w:r w:rsidRPr="006B699E">
        <w:t xml:space="preserve"> </w:t>
      </w:r>
    </w:p>
    <w:p w14:paraId="6B190567" w14:textId="759A5DB7" w:rsidR="0067210B" w:rsidRDefault="00703068" w:rsidP="00900154">
      <w:pPr>
        <w:pStyle w:val="Heading3"/>
      </w:pPr>
      <w:bookmarkStart w:id="83" w:name="_Ref410128994"/>
      <w:r w:rsidRPr="00703068">
        <w:t>Wire shall be delivered in integer multip</w:t>
      </w:r>
      <w:r w:rsidR="00CA717A">
        <w:t>les of</w:t>
      </w:r>
      <w:r w:rsidRPr="00703068">
        <w:t xml:space="preserve"> 410 m </w:t>
      </w:r>
      <w:r w:rsidR="00CA717A">
        <w:t>(</w:t>
      </w:r>
      <w:r w:rsidR="00CA717A" w:rsidRPr="00CA717A">
        <w:t xml:space="preserve">50% of </w:t>
      </w:r>
      <w:r w:rsidR="00CA717A">
        <w:t>total required</w:t>
      </w:r>
      <w:r w:rsidR="00CA717A" w:rsidRPr="00CA717A">
        <w:t xml:space="preserve"> units) </w:t>
      </w:r>
      <w:r w:rsidR="00CA717A">
        <w:t>and</w:t>
      </w:r>
      <w:r w:rsidRPr="00703068">
        <w:t xml:space="preserve"> 425 m</w:t>
      </w:r>
      <w:r w:rsidR="00CA717A">
        <w:t xml:space="preserve"> (50% of total required units)</w:t>
      </w:r>
      <w:r w:rsidR="00F769E5">
        <w:t xml:space="preserve">. </w:t>
      </w:r>
      <w:r w:rsidR="00327ECF">
        <w:t>In addition,</w:t>
      </w:r>
      <w:r w:rsidR="00282962">
        <w:t xml:space="preserve"> </w:t>
      </w:r>
      <w:r w:rsidR="00327ECF">
        <w:t xml:space="preserve">to ensure quality and homogeneity, </w:t>
      </w:r>
      <w:r w:rsidR="00282962">
        <w:t xml:space="preserve">the maximum acceptable number of pieces (as a result of </w:t>
      </w:r>
      <w:r w:rsidR="00282962" w:rsidRPr="00282962">
        <w:rPr>
          <w:u w:val="single"/>
        </w:rPr>
        <w:t>breakages plus intentional cuts</w:t>
      </w:r>
      <w:r w:rsidR="00282962" w:rsidRPr="00282962">
        <w:t>)</w:t>
      </w:r>
      <w:r w:rsidR="00282962">
        <w:t xml:space="preserve"> per billet is </w:t>
      </w:r>
      <w:r w:rsidR="00327ECF">
        <w:t>ten</w:t>
      </w:r>
      <w:r w:rsidR="00282962">
        <w:t xml:space="preserve">.  Supplier may ask for acceptance of billets with higher number of breakages and cuts.  The purchaser has the discretion to decide whether to accept or not.  </w:t>
      </w:r>
    </w:p>
    <w:p w14:paraId="39F12F8A" w14:textId="77777777" w:rsidR="0067210B" w:rsidRDefault="0067210B" w:rsidP="00900154">
      <w:pPr>
        <w:pStyle w:val="Heading3"/>
        <w:numPr>
          <w:ilvl w:val="0"/>
          <w:numId w:val="0"/>
        </w:numPr>
        <w:ind w:left="720"/>
      </w:pPr>
      <w:r>
        <w:t>Supplier shall understand that very l</w:t>
      </w:r>
      <w:r w:rsidRPr="00710DB5">
        <w:t xml:space="preserve">ong strand piece lengths are </w:t>
      </w:r>
      <w:r>
        <w:t xml:space="preserve">highly </w:t>
      </w:r>
      <w:r w:rsidRPr="00710DB5">
        <w:t xml:space="preserve">desirable, </w:t>
      </w:r>
      <w:r>
        <w:t xml:space="preserve">not only to reduce waste and excess, but also because </w:t>
      </w:r>
      <w:r w:rsidRPr="00710DB5">
        <w:t>this is a sign of high quality and homogeneity, both of the strand and of its manufacturing process.</w:t>
      </w:r>
      <w:bookmarkEnd w:id="83"/>
      <w:r>
        <w:t xml:space="preserve">    </w:t>
      </w:r>
    </w:p>
    <w:p w14:paraId="74B982FE" w14:textId="192810B3" w:rsidR="0067210B" w:rsidRDefault="0067210B" w:rsidP="00900154">
      <w:pPr>
        <w:pStyle w:val="Heading3"/>
      </w:pPr>
      <w:bookmarkStart w:id="84" w:name="_Ref456704324"/>
      <w:bookmarkStart w:id="85" w:name="_Ref410128997"/>
      <w:bookmarkStart w:id="86" w:name="_Ref456703999"/>
      <w:bookmarkStart w:id="87" w:name="_Ref404697826"/>
      <w:r>
        <w:t xml:space="preserve">Strand pieces for </w:t>
      </w:r>
      <w:r w:rsidR="00327ECF">
        <w:t>QC</w:t>
      </w:r>
      <w:r>
        <w:t xml:space="preserve"> purposes shall be nominally 20 m length and equally divided for supplier</w:t>
      </w:r>
      <w:r w:rsidR="00282962">
        <w:t xml:space="preserve"> QC</w:t>
      </w:r>
      <w:r>
        <w:t xml:space="preserve"> and purchaser verification </w:t>
      </w:r>
      <w:r w:rsidR="00282962">
        <w:t xml:space="preserve">QC </w:t>
      </w:r>
      <w:r>
        <w:t>testing (i.e. 10 m + 10 m).</w:t>
      </w:r>
      <w:bookmarkEnd w:id="84"/>
      <w:r>
        <w:t xml:space="preserve">  </w:t>
      </w:r>
    </w:p>
    <w:bookmarkEnd w:id="85"/>
    <w:bookmarkEnd w:id="86"/>
    <w:p w14:paraId="27BBB284" w14:textId="447290A8" w:rsidR="0067210B" w:rsidRDefault="0067210B" w:rsidP="00900154">
      <w:pPr>
        <w:pStyle w:val="Heading3"/>
      </w:pPr>
      <w:r>
        <w:t xml:space="preserve">Any </w:t>
      </w:r>
      <w:r w:rsidR="00282962">
        <w:t>QC sample</w:t>
      </w:r>
      <w:r>
        <w:t xml:space="preserve"> </w:t>
      </w:r>
      <w:r w:rsidR="00282962">
        <w:t>piece</w:t>
      </w:r>
      <w:r>
        <w:t xml:space="preserve"> must be adjacent to one end of a delivered piece of production conductor or another </w:t>
      </w:r>
      <w:r w:rsidR="00282962">
        <w:t>QC</w:t>
      </w:r>
      <w:r>
        <w:t xml:space="preserve"> </w:t>
      </w:r>
      <w:r w:rsidR="00282962">
        <w:t>sample piece</w:t>
      </w:r>
      <w:r>
        <w:t xml:space="preserve">.  </w:t>
      </w:r>
      <w:r w:rsidR="00282962">
        <w:t>The v</w:t>
      </w:r>
      <w:r>
        <w:t xml:space="preserve">erification </w:t>
      </w:r>
      <w:r w:rsidR="00282962">
        <w:t>sample piece</w:t>
      </w:r>
      <w:r>
        <w:t xml:space="preserve"> delivered to the purchaser shall, moreover, be adjacent to </w:t>
      </w:r>
      <w:r w:rsidR="00282962">
        <w:t xml:space="preserve">the QC sample piece </w:t>
      </w:r>
      <w:r>
        <w:t xml:space="preserve">selected by the supplier, i.e. they should be cut from the same end of a long conductor piece.  This is described in figure 2.  </w:t>
      </w:r>
    </w:p>
    <w:p w14:paraId="66BC4951" w14:textId="5D5F4F1E" w:rsidR="0067210B" w:rsidRPr="001D7380" w:rsidRDefault="0067210B" w:rsidP="00900154">
      <w:pPr>
        <w:pStyle w:val="Heading3"/>
      </w:pPr>
      <w:r>
        <w:t xml:space="preserve">Supplier shall not make unnecessary cuts to continuous pieces.  </w:t>
      </w:r>
    </w:p>
    <w:p w14:paraId="6055A0AF" w14:textId="6B446A74" w:rsidR="0067210B" w:rsidRPr="00150887" w:rsidRDefault="0067210B" w:rsidP="00900154">
      <w:pPr>
        <w:pStyle w:val="Heading3"/>
      </w:pPr>
      <w:r w:rsidRPr="00150887">
        <w:t>Supplier shall report the manufacturing yield for each billet per</w:t>
      </w:r>
      <w:r>
        <w:t xml:space="preserve"> </w:t>
      </w:r>
      <w:r>
        <w:fldChar w:fldCharType="begin"/>
      </w:r>
      <w:r>
        <w:instrText xml:space="preserve"> REF _Ref418495775 \r \h </w:instrText>
      </w:r>
      <w:r>
        <w:fldChar w:fldCharType="separate"/>
      </w:r>
      <w:r w:rsidR="00C75BD8">
        <w:t>4.7</w:t>
      </w:r>
      <w:r>
        <w:fldChar w:fldCharType="end"/>
      </w:r>
      <w:r w:rsidRPr="00150887">
        <w:t xml:space="preserve">.  When reporting yield, supplier shall furthermore report a compilation of all final-size pieces derived from the billet, listing length, diameter, and either the mass of the piece or a conversion of mass per unit length for each piece.  </w:t>
      </w:r>
    </w:p>
    <w:p w14:paraId="500247DE" w14:textId="77777777" w:rsidR="0067210B" w:rsidRPr="001D7380" w:rsidRDefault="0067210B" w:rsidP="0067210B">
      <w:pPr>
        <w:pStyle w:val="Heading2"/>
      </w:pPr>
      <w:bookmarkStart w:id="88" w:name="_Toc410209115"/>
      <w:r w:rsidRPr="006B699E">
        <w:t>Surface Condition:</w:t>
      </w:r>
      <w:bookmarkEnd w:id="87"/>
      <w:bookmarkEnd w:id="88"/>
      <w:r w:rsidRPr="006B699E">
        <w:t xml:space="preserve"> </w:t>
      </w:r>
    </w:p>
    <w:p w14:paraId="028BF7E1" w14:textId="77777777" w:rsidR="0067210B" w:rsidRPr="00150887" w:rsidRDefault="0067210B" w:rsidP="00900154">
      <w:pPr>
        <w:pStyle w:val="Heading3"/>
      </w:pPr>
      <w:r w:rsidRPr="00150887">
        <w:t xml:space="preserve">Each strand piece length shall be checked continuously on its overall length by an eddy-current method to detect inclusions, voids, cracks, and other surface defects.  </w:t>
      </w:r>
    </w:p>
    <w:p w14:paraId="4EB11940" w14:textId="768A51C1" w:rsidR="0067210B" w:rsidRPr="001D7380" w:rsidRDefault="0067210B" w:rsidP="00900154">
      <w:pPr>
        <w:pStyle w:val="Heading3"/>
      </w:pPr>
      <w:r w:rsidRPr="001D7380">
        <w:t xml:space="preserve">The strand surface at the final diameter shall be free of any surface defects, slivers, folds, </w:t>
      </w:r>
      <w:r w:rsidR="00282962">
        <w:t xml:space="preserve">gouges, </w:t>
      </w:r>
      <w:r w:rsidRPr="001D7380">
        <w:t xml:space="preserve">laminations, or inclusions, and shall not have any component other than the copper stabilizer material visible.  </w:t>
      </w:r>
    </w:p>
    <w:p w14:paraId="7B229406" w14:textId="77777777" w:rsidR="0067210B" w:rsidRDefault="0067210B" w:rsidP="0067210B">
      <w:pPr>
        <w:pStyle w:val="Heading1"/>
      </w:pPr>
      <w:bookmarkStart w:id="89" w:name="_Ref410051023"/>
      <w:bookmarkStart w:id="90" w:name="_Toc410209116"/>
      <w:bookmarkStart w:id="91" w:name="_Toc456780810"/>
      <w:r>
        <w:t>ELECTRICAL AND MAGNETIC REQUIREMENTS</w:t>
      </w:r>
      <w:bookmarkEnd w:id="89"/>
      <w:bookmarkEnd w:id="90"/>
      <w:r>
        <w:t xml:space="preserve"> AND ELECTROMAGNETIC TESTING</w:t>
      </w:r>
      <w:bookmarkEnd w:id="91"/>
    </w:p>
    <w:p w14:paraId="7895B0F9" w14:textId="77777777" w:rsidR="0067210B" w:rsidRPr="006B699E" w:rsidRDefault="0067210B" w:rsidP="0067210B">
      <w:pPr>
        <w:pStyle w:val="Heading2"/>
      </w:pPr>
      <w:bookmarkStart w:id="92" w:name="_Ref404695148"/>
      <w:bookmarkStart w:id="93" w:name="_Toc410209117"/>
      <w:bookmarkStart w:id="94" w:name="_Ref404345169"/>
      <w:bookmarkStart w:id="95" w:name="_Ref399842033"/>
      <w:r w:rsidRPr="006B699E">
        <w:t>Critical Current:</w:t>
      </w:r>
      <w:bookmarkEnd w:id="92"/>
      <w:bookmarkEnd w:id="93"/>
      <w:r w:rsidRPr="006B699E">
        <w:t xml:space="preserve"> </w:t>
      </w:r>
    </w:p>
    <w:p w14:paraId="21B337F8" w14:textId="33A72C32" w:rsidR="0067210B" w:rsidRDefault="0067210B" w:rsidP="00900154">
      <w:pPr>
        <w:pStyle w:val="Heading3"/>
      </w:pPr>
      <w:r>
        <w:t xml:space="preserve">The strand critical current </w:t>
      </w:r>
      <w:proofErr w:type="spellStart"/>
      <w:r>
        <w:rPr>
          <w:i/>
        </w:rPr>
        <w:t>I</w:t>
      </w:r>
      <w:r>
        <w:rPr>
          <w:i/>
          <w:vertAlign w:val="subscript"/>
        </w:rPr>
        <w:t>c</w:t>
      </w:r>
      <w:proofErr w:type="spellEnd"/>
      <w:r>
        <w:t xml:space="preserve"> shall exceed </w:t>
      </w:r>
      <w:r w:rsidR="00BD05DB">
        <w:t>6</w:t>
      </w:r>
      <w:r w:rsidR="00620251">
        <w:t>00</w:t>
      </w:r>
      <w:r>
        <w:t xml:space="preserve"> amperes at 1</w:t>
      </w:r>
      <w:r w:rsidR="006D36F9">
        <w:t>6</w:t>
      </w:r>
      <w:r>
        <w:t xml:space="preserve"> T field and 4.2 K temperature.</w:t>
      </w:r>
    </w:p>
    <w:p w14:paraId="3580FB1F" w14:textId="69643318" w:rsidR="0067210B" w:rsidRDefault="00CC52C0" w:rsidP="00CC52C0">
      <w:pPr>
        <w:pStyle w:val="Heading3"/>
      </w:pPr>
      <w:bookmarkStart w:id="96" w:name="_Ref417462710"/>
      <w:r>
        <w:t>The</w:t>
      </w:r>
      <w:r w:rsidR="0067210B">
        <w:t xml:space="preserve"> strand critical current </w:t>
      </w:r>
      <w:proofErr w:type="spellStart"/>
      <w:r>
        <w:rPr>
          <w:i/>
        </w:rPr>
        <w:t>I</w:t>
      </w:r>
      <w:r>
        <w:rPr>
          <w:i/>
          <w:vertAlign w:val="subscript"/>
        </w:rPr>
        <w:t>c</w:t>
      </w:r>
      <w:proofErr w:type="spellEnd"/>
      <w:r>
        <w:t xml:space="preserve"> shall</w:t>
      </w:r>
      <w:r w:rsidR="0067210B">
        <w:t xml:space="preserve"> exceed </w:t>
      </w:r>
      <w:r w:rsidR="006C7C1B">
        <w:t>7</w:t>
      </w:r>
      <w:r>
        <w:t>6</w:t>
      </w:r>
      <w:r w:rsidR="006D36F9">
        <w:t>0</w:t>
      </w:r>
      <w:r w:rsidR="0067210B">
        <w:t xml:space="preserve"> amperes at 15 T field and 4.2 K temperature.</w:t>
      </w:r>
      <w:bookmarkEnd w:id="96"/>
    </w:p>
    <w:p w14:paraId="302E996C" w14:textId="3052A477" w:rsidR="0067210B" w:rsidRDefault="0067210B" w:rsidP="00900154">
      <w:pPr>
        <w:pStyle w:val="Heading3"/>
      </w:pPr>
      <w:r>
        <w:t xml:space="preserve">The strand critical current </w:t>
      </w:r>
      <w:proofErr w:type="spellStart"/>
      <w:r w:rsidR="00CC52C0">
        <w:rPr>
          <w:i/>
        </w:rPr>
        <w:t>I</w:t>
      </w:r>
      <w:r w:rsidR="00CC52C0">
        <w:rPr>
          <w:i/>
          <w:vertAlign w:val="subscript"/>
        </w:rPr>
        <w:t>c</w:t>
      </w:r>
      <w:proofErr w:type="spellEnd"/>
      <w:r w:rsidR="00CC52C0">
        <w:t xml:space="preserve"> </w:t>
      </w:r>
      <w:r>
        <w:t>shall</w:t>
      </w:r>
      <w:r w:rsidR="006C7C1B">
        <w:t xml:space="preserve"> </w:t>
      </w:r>
      <w:r>
        <w:t xml:space="preserve">exceed </w:t>
      </w:r>
      <w:r w:rsidR="006D36F9">
        <w:t>5</w:t>
      </w:r>
      <w:r w:rsidR="00CC52C0">
        <w:t>7</w:t>
      </w:r>
      <w:r>
        <w:t>0 A at 1</w:t>
      </w:r>
      <w:r w:rsidR="006D36F9">
        <w:t>6</w:t>
      </w:r>
      <w:r>
        <w:t xml:space="preserve"> T, 4.2 K, and also exceed </w:t>
      </w:r>
      <w:r w:rsidR="006C7C1B">
        <w:t>7</w:t>
      </w:r>
      <w:r w:rsidR="00CC52C0">
        <w:t>2</w:t>
      </w:r>
      <w:r w:rsidR="006D36F9">
        <w:t>0</w:t>
      </w:r>
      <w:r>
        <w:t xml:space="preserve"> A at 15 T, 4.2 K, after rolling to </w:t>
      </w:r>
      <w:r w:rsidR="006D36F9">
        <w:t>0.935</w:t>
      </w:r>
      <w:r>
        <w:t xml:space="preserve"> mm thickness (i.e. 15% reduction).  </w:t>
      </w:r>
    </w:p>
    <w:p w14:paraId="06C090D1" w14:textId="4B143C6B" w:rsidR="0067210B" w:rsidRPr="00150887" w:rsidRDefault="0067210B" w:rsidP="00900154">
      <w:pPr>
        <w:pStyle w:val="Heading3"/>
      </w:pPr>
      <w:r w:rsidRPr="00150887">
        <w:t xml:space="preserve">The </w:t>
      </w:r>
      <w:proofErr w:type="spellStart"/>
      <w:r w:rsidRPr="00150887">
        <w:rPr>
          <w:i/>
        </w:rPr>
        <w:t>I</w:t>
      </w:r>
      <w:r w:rsidRPr="00150887">
        <w:rPr>
          <w:i/>
          <w:vertAlign w:val="subscript"/>
        </w:rPr>
        <w:t>c</w:t>
      </w:r>
      <w:proofErr w:type="spellEnd"/>
      <w:r w:rsidRPr="00150887">
        <w:rPr>
          <w:i/>
        </w:rPr>
        <w:t xml:space="preserve"> </w:t>
      </w:r>
      <w:r w:rsidRPr="00150887">
        <w:t xml:space="preserve">shall be measured according to </w:t>
      </w:r>
      <w:r>
        <w:fldChar w:fldCharType="begin"/>
      </w:r>
      <w:r>
        <w:instrText xml:space="preserve"> REF _Ref410050540 \h </w:instrText>
      </w:r>
      <w:r>
        <w:fldChar w:fldCharType="separate"/>
      </w:r>
      <w:r w:rsidR="00C75BD8" w:rsidRPr="001D7380">
        <w:t>International Standard IEC 61788-2:</w:t>
      </w:r>
      <w:r w:rsidR="00C75BD8">
        <w:t xml:space="preserve"> </w:t>
      </w:r>
      <w:r w:rsidR="00C75BD8" w:rsidRPr="00150887">
        <w:rPr>
          <w:i/>
        </w:rPr>
        <w:t>DC critical current of Nb</w:t>
      </w:r>
      <w:r w:rsidR="00C75BD8" w:rsidRPr="00150887">
        <w:rPr>
          <w:i/>
          <w:vertAlign w:val="subscript"/>
        </w:rPr>
        <w:t>3</w:t>
      </w:r>
      <w:r w:rsidR="00C75BD8" w:rsidRPr="00150887">
        <w:rPr>
          <w:i/>
        </w:rPr>
        <w:t>Sn composite superconductors</w:t>
      </w:r>
      <w:r>
        <w:fldChar w:fldCharType="end"/>
      </w:r>
      <w:r>
        <w:t xml:space="preserve"> </w:t>
      </w:r>
      <w:r w:rsidRPr="00150887">
        <w:t xml:space="preserve">for fully reacted strands at the final diameter.  </w:t>
      </w:r>
    </w:p>
    <w:p w14:paraId="24804778" w14:textId="77777777" w:rsidR="0067210B" w:rsidRPr="001D7380" w:rsidRDefault="0067210B" w:rsidP="00900154">
      <w:pPr>
        <w:pStyle w:val="Heading3"/>
      </w:pPr>
      <w:r w:rsidRPr="001D7380">
        <w:t xml:space="preserve">The </w:t>
      </w:r>
      <w:proofErr w:type="spellStart"/>
      <w:r w:rsidRPr="006B699E">
        <w:rPr>
          <w:i/>
        </w:rPr>
        <w:t>I</w:t>
      </w:r>
      <w:r w:rsidRPr="006B699E">
        <w:rPr>
          <w:i/>
          <w:vertAlign w:val="subscript"/>
        </w:rPr>
        <w:t>c</w:t>
      </w:r>
      <w:proofErr w:type="spellEnd"/>
      <w:r w:rsidRPr="001D7380">
        <w:t xml:space="preserve"> shall be defined for an electric field criterion of 10 </w:t>
      </w:r>
      <w:proofErr w:type="spellStart"/>
      <w:r w:rsidRPr="001D7380">
        <w:t>μV</w:t>
      </w:r>
      <w:proofErr w:type="spellEnd"/>
      <w:r w:rsidRPr="001D7380">
        <w:t>/m.</w:t>
      </w:r>
    </w:p>
    <w:p w14:paraId="68427A24" w14:textId="77777777" w:rsidR="0067210B" w:rsidRPr="001D7380" w:rsidRDefault="0067210B" w:rsidP="00900154">
      <w:pPr>
        <w:pStyle w:val="Heading3"/>
      </w:pPr>
      <w:r w:rsidRPr="001D7380">
        <w:t xml:space="preserve">The </w:t>
      </w:r>
      <w:proofErr w:type="spellStart"/>
      <w:r w:rsidRPr="006B699E">
        <w:rPr>
          <w:i/>
        </w:rPr>
        <w:t>I</w:t>
      </w:r>
      <w:r w:rsidRPr="006B699E">
        <w:rPr>
          <w:i/>
          <w:vertAlign w:val="subscript"/>
        </w:rPr>
        <w:t>c</w:t>
      </w:r>
      <w:proofErr w:type="spellEnd"/>
      <w:r w:rsidRPr="001D7380">
        <w:t xml:space="preserve"> shall be reported without any self-field correction.</w:t>
      </w:r>
    </w:p>
    <w:p w14:paraId="5954B615" w14:textId="77777777" w:rsidR="0067210B" w:rsidRDefault="0067210B" w:rsidP="00900154">
      <w:pPr>
        <w:pStyle w:val="Heading3"/>
      </w:pPr>
      <w:r>
        <w:t xml:space="preserve">The voltage tap separation for determining </w:t>
      </w:r>
      <w:proofErr w:type="spellStart"/>
      <w:r>
        <w:rPr>
          <w:i/>
        </w:rPr>
        <w:t>I</w:t>
      </w:r>
      <w:r>
        <w:rPr>
          <w:i/>
          <w:vertAlign w:val="subscript"/>
        </w:rPr>
        <w:t>c</w:t>
      </w:r>
      <w:proofErr w:type="spellEnd"/>
      <w:r>
        <w:t xml:space="preserve"> shall be at least 40 mm.</w:t>
      </w:r>
    </w:p>
    <w:p w14:paraId="21DA18E6" w14:textId="77177371" w:rsidR="0067210B" w:rsidRPr="001D7380" w:rsidRDefault="0067210B" w:rsidP="00900154">
      <w:pPr>
        <w:pStyle w:val="Heading3"/>
      </w:pPr>
      <w:r w:rsidRPr="001D7380">
        <w:t xml:space="preserve">The </w:t>
      </w:r>
      <w:proofErr w:type="spellStart"/>
      <w:r w:rsidRPr="006B699E">
        <w:rPr>
          <w:i/>
        </w:rPr>
        <w:t>I</w:t>
      </w:r>
      <w:r w:rsidRPr="006B699E">
        <w:rPr>
          <w:i/>
          <w:vertAlign w:val="subscript"/>
        </w:rPr>
        <w:t>c</w:t>
      </w:r>
      <w:proofErr w:type="spellEnd"/>
      <w:r w:rsidRPr="001D7380">
        <w:t xml:space="preserve"> test </w:t>
      </w:r>
      <w:r>
        <w:t xml:space="preserve">at </w:t>
      </w:r>
      <w:r w:rsidR="00900154">
        <w:t xml:space="preserve">16 T and </w:t>
      </w:r>
      <w:r>
        <w:t xml:space="preserve">15 T, </w:t>
      </w:r>
      <w:r>
        <w:fldChar w:fldCharType="begin"/>
      </w:r>
      <w:r>
        <w:instrText xml:space="preserve"> REF _Ref417462710 \r \h </w:instrText>
      </w:r>
      <w:r>
        <w:fldChar w:fldCharType="separate"/>
      </w:r>
      <w:r w:rsidR="00C75BD8">
        <w:t>6.1.2</w:t>
      </w:r>
      <w:r>
        <w:fldChar w:fldCharType="end"/>
      </w:r>
      <w:r>
        <w:t xml:space="preserve">, </w:t>
      </w:r>
      <w:r w:rsidRPr="001D7380">
        <w:t xml:space="preserve">shall include the measurement of </w:t>
      </w:r>
      <w:r w:rsidRPr="00112DA1">
        <w:rPr>
          <w:i/>
        </w:rPr>
        <w:t>n</w:t>
      </w:r>
      <w:r w:rsidRPr="001D7380">
        <w:t xml:space="preserve"> as defined in</w:t>
      </w:r>
      <w:r>
        <w:t xml:space="preserve"> </w:t>
      </w:r>
      <w:r>
        <w:fldChar w:fldCharType="begin"/>
      </w:r>
      <w:r>
        <w:instrText xml:space="preserve"> REF _Ref410050560 \h </w:instrText>
      </w:r>
      <w:r>
        <w:fldChar w:fldCharType="separate"/>
      </w:r>
      <w:r w:rsidR="00C75BD8" w:rsidRPr="001D7380">
        <w:t>International Standard IEC 61788-2:</w:t>
      </w:r>
      <w:r w:rsidR="00C75BD8">
        <w:t xml:space="preserve"> </w:t>
      </w:r>
      <w:r w:rsidR="00C75BD8" w:rsidRPr="00150887">
        <w:rPr>
          <w:i/>
        </w:rPr>
        <w:t>DC critical current of Nb</w:t>
      </w:r>
      <w:r w:rsidR="00C75BD8" w:rsidRPr="00150887">
        <w:rPr>
          <w:i/>
          <w:vertAlign w:val="subscript"/>
        </w:rPr>
        <w:t>3</w:t>
      </w:r>
      <w:r w:rsidR="00C75BD8" w:rsidRPr="00150887">
        <w:rPr>
          <w:i/>
        </w:rPr>
        <w:t xml:space="preserve">Sn composite </w:t>
      </w:r>
      <w:proofErr w:type="spellStart"/>
      <w:r w:rsidR="00C75BD8" w:rsidRPr="00150887">
        <w:rPr>
          <w:i/>
        </w:rPr>
        <w:t>superconductors</w:t>
      </w:r>
      <w:r>
        <w:fldChar w:fldCharType="end"/>
      </w:r>
      <w:r>
        <w:fldChar w:fldCharType="begin"/>
      </w:r>
      <w:r>
        <w:instrText xml:space="preserve"> REF _Ref410050540 \h </w:instrText>
      </w:r>
      <w:r>
        <w:fldChar w:fldCharType="separate"/>
      </w:r>
      <w:r w:rsidR="00C75BD8" w:rsidRPr="001D7380">
        <w:t>International</w:t>
      </w:r>
      <w:proofErr w:type="spellEnd"/>
      <w:r w:rsidR="00C75BD8" w:rsidRPr="001D7380">
        <w:t xml:space="preserve"> Standard IEC 61788-2:</w:t>
      </w:r>
      <w:r w:rsidR="00C75BD8">
        <w:t xml:space="preserve"> </w:t>
      </w:r>
      <w:r w:rsidR="00C75BD8" w:rsidRPr="00150887">
        <w:rPr>
          <w:i/>
        </w:rPr>
        <w:t>DC critical current of Nb</w:t>
      </w:r>
      <w:r w:rsidR="00C75BD8" w:rsidRPr="00150887">
        <w:rPr>
          <w:i/>
          <w:vertAlign w:val="subscript"/>
        </w:rPr>
        <w:t>3</w:t>
      </w:r>
      <w:r w:rsidR="00C75BD8" w:rsidRPr="00150887">
        <w:rPr>
          <w:i/>
        </w:rPr>
        <w:t xml:space="preserve">Sn </w:t>
      </w:r>
      <w:r w:rsidR="00C75BD8" w:rsidRPr="00150887">
        <w:rPr>
          <w:i/>
        </w:rPr>
        <w:lastRenderedPageBreak/>
        <w:t>composite superconductors</w:t>
      </w:r>
      <w:r>
        <w:fldChar w:fldCharType="end"/>
      </w:r>
      <w:r>
        <w:t>.</w:t>
      </w:r>
      <w:r w:rsidRPr="001D7380">
        <w:t xml:space="preserve">  </w:t>
      </w:r>
      <w:r>
        <w:t xml:space="preserve">The value of </w:t>
      </w:r>
      <w:r>
        <w:rPr>
          <w:i/>
        </w:rPr>
        <w:t>n</w:t>
      </w:r>
      <w:r>
        <w:t xml:space="preserve"> shall equal or exceed 30.  </w:t>
      </w:r>
      <w:r w:rsidRPr="001D7380">
        <w:t xml:space="preserve">The electric field range used to determine </w:t>
      </w:r>
      <w:r w:rsidRPr="00112DA1">
        <w:rPr>
          <w:i/>
        </w:rPr>
        <w:t>n</w:t>
      </w:r>
      <w:r w:rsidRPr="001D7380">
        <w:t xml:space="preserve"> shall be at least one decade in magnitude and shall include the </w:t>
      </w:r>
      <w:proofErr w:type="spellStart"/>
      <w:r w:rsidRPr="006B699E">
        <w:rPr>
          <w:i/>
        </w:rPr>
        <w:t>I</w:t>
      </w:r>
      <w:r w:rsidRPr="006B699E">
        <w:rPr>
          <w:i/>
          <w:vertAlign w:val="subscript"/>
        </w:rPr>
        <w:t>c</w:t>
      </w:r>
      <w:proofErr w:type="spellEnd"/>
      <w:r w:rsidRPr="001D7380">
        <w:t xml:space="preserve"> criterion.</w:t>
      </w:r>
    </w:p>
    <w:p w14:paraId="46F9FE28" w14:textId="77777777" w:rsidR="0067210B" w:rsidRDefault="0067210B" w:rsidP="00900154">
      <w:pPr>
        <w:pStyle w:val="Heading3"/>
      </w:pPr>
      <w:r>
        <w:t>Supplier</w:t>
      </w:r>
      <w:r w:rsidRPr="001D7380">
        <w:t xml:space="preserve"> shall note that the international standard requires reporting of uncertainty, which includes variations of liquid helium bath temperature from nominal 4.2</w:t>
      </w:r>
      <w:r>
        <w:t>2</w:t>
      </w:r>
      <w:r w:rsidRPr="001D7380">
        <w:t xml:space="preserve"> K, </w:t>
      </w:r>
      <w:r>
        <w:t xml:space="preserve">magnetic </w:t>
      </w:r>
      <w:r w:rsidRPr="001D7380">
        <w:t>field uncertainty, and calibrations.</w:t>
      </w:r>
      <w:r>
        <w:t xml:space="preserve">  </w:t>
      </w:r>
    </w:p>
    <w:p w14:paraId="7F980CC2" w14:textId="77777777" w:rsidR="0067210B" w:rsidRPr="001D7380" w:rsidRDefault="0067210B" w:rsidP="0067210B">
      <w:pPr>
        <w:pStyle w:val="Heading2"/>
      </w:pPr>
      <w:bookmarkStart w:id="97" w:name="_Ref404696306"/>
      <w:bookmarkStart w:id="98" w:name="_Toc410209118"/>
      <w:r w:rsidRPr="006B699E">
        <w:t>Residual Resistance Ratio, RRR:</w:t>
      </w:r>
      <w:bookmarkEnd w:id="94"/>
      <w:bookmarkEnd w:id="97"/>
      <w:bookmarkEnd w:id="98"/>
      <w:r w:rsidRPr="006B699E">
        <w:t xml:space="preserve"> </w:t>
      </w:r>
    </w:p>
    <w:p w14:paraId="072E7294" w14:textId="77777777" w:rsidR="0067210B" w:rsidRDefault="0067210B" w:rsidP="00900154">
      <w:pPr>
        <w:pStyle w:val="Heading3"/>
      </w:pPr>
      <w:r>
        <w:t xml:space="preserve">The value of </w:t>
      </w:r>
      <w:r>
        <w:rPr>
          <w:i/>
        </w:rPr>
        <w:t>RRR</w:t>
      </w:r>
      <w:r>
        <w:t xml:space="preserve"> shall exceed 150 for final size strand after full reaction.  </w:t>
      </w:r>
    </w:p>
    <w:p w14:paraId="1BEE543C" w14:textId="03A13A4C" w:rsidR="0067210B" w:rsidRDefault="0067210B" w:rsidP="00900154">
      <w:pPr>
        <w:pStyle w:val="Heading3"/>
        <w:numPr>
          <w:ilvl w:val="0"/>
          <w:numId w:val="0"/>
        </w:numPr>
        <w:ind w:left="720"/>
      </w:pPr>
      <w:r>
        <w:t xml:space="preserve">Manufacturer shall note the reaction conditions for all samples must comply with </w:t>
      </w:r>
      <w:r>
        <w:fldChar w:fldCharType="begin"/>
      </w:r>
      <w:r>
        <w:instrText xml:space="preserve"> REF _Ref456705302 \r \h </w:instrText>
      </w:r>
      <w:r>
        <w:fldChar w:fldCharType="separate"/>
      </w:r>
      <w:r w:rsidR="00C75BD8">
        <w:t>8.1.7</w:t>
      </w:r>
      <w:r>
        <w:fldChar w:fldCharType="end"/>
      </w:r>
      <w:r>
        <w:t>.</w:t>
      </w:r>
    </w:p>
    <w:p w14:paraId="21224BAE" w14:textId="6A196143" w:rsidR="0067210B" w:rsidRDefault="0067210B" w:rsidP="00900154">
      <w:pPr>
        <w:pStyle w:val="Heading3"/>
      </w:pPr>
      <w:r>
        <w:t xml:space="preserve">In addition, the value of </w:t>
      </w:r>
      <w:r>
        <w:rPr>
          <w:i/>
        </w:rPr>
        <w:t>RRR</w:t>
      </w:r>
      <w:r>
        <w:t xml:space="preserve"> shall exceed 100 for a final size strand rolled to a thickness of 0.</w:t>
      </w:r>
      <w:r w:rsidR="00900154">
        <w:t>93</w:t>
      </w:r>
      <w:r>
        <w:t>5 mm, i.e. 15% reduction, also after full reaction.</w:t>
      </w:r>
    </w:p>
    <w:p w14:paraId="3BBE096F" w14:textId="3F5D1FE8" w:rsidR="0067210B" w:rsidRDefault="0067210B" w:rsidP="00900154">
      <w:pPr>
        <w:pStyle w:val="Heading3"/>
      </w:pPr>
      <w:r>
        <w:fldChar w:fldCharType="begin"/>
      </w:r>
      <w:r>
        <w:instrText xml:space="preserve"> REF _Ref410050588 \h </w:instrText>
      </w:r>
      <w:r>
        <w:fldChar w:fldCharType="separate"/>
      </w:r>
      <w:r w:rsidR="00C75BD8" w:rsidRPr="001D7380">
        <w:t>International Standard IEC 61788-11:</w:t>
      </w:r>
      <w:r w:rsidR="00C75BD8">
        <w:t xml:space="preserve"> </w:t>
      </w:r>
      <w:r w:rsidR="00C75BD8" w:rsidRPr="00150887">
        <w:rPr>
          <w:i/>
        </w:rPr>
        <w:t>Residual resistance ratio of Nb</w:t>
      </w:r>
      <w:r w:rsidR="00C75BD8" w:rsidRPr="00150887">
        <w:rPr>
          <w:i/>
          <w:vertAlign w:val="subscript"/>
        </w:rPr>
        <w:t>3</w:t>
      </w:r>
      <w:r w:rsidR="00C75BD8" w:rsidRPr="00150887">
        <w:rPr>
          <w:i/>
        </w:rPr>
        <w:t>Sn composite superconductors</w:t>
      </w:r>
      <w:r>
        <w:fldChar w:fldCharType="end"/>
      </w:r>
      <w:r>
        <w:t xml:space="preserve"> </w:t>
      </w:r>
      <w:r w:rsidRPr="001D7380">
        <w:t xml:space="preserve">shall be used to determine the RRR value.  </w:t>
      </w:r>
      <w:bookmarkEnd w:id="95"/>
    </w:p>
    <w:p w14:paraId="047CBC26" w14:textId="385EDD11" w:rsidR="0067210B" w:rsidRDefault="0067210B" w:rsidP="00900154">
      <w:pPr>
        <w:pStyle w:val="Heading3"/>
        <w:numPr>
          <w:ilvl w:val="0"/>
          <w:numId w:val="0"/>
        </w:numPr>
        <w:ind w:left="720"/>
      </w:pPr>
      <w:r>
        <w:t xml:space="preserve">Supplier shall note that </w:t>
      </w:r>
      <w:r w:rsidRPr="001D7380">
        <w:t xml:space="preserve">RRR is defined as the ratio of resistance </w:t>
      </w:r>
      <w:r>
        <w:t>at 293 K (room temperature)</w:t>
      </w:r>
      <w:r w:rsidRPr="001D7380">
        <w:t xml:space="preserve"> to that </w:t>
      </w:r>
      <w:r>
        <w:t xml:space="preserve">defined by the intersection of the superconducting transition region and the onset of the normal conducting region upon warming the sample from the superconducting state.  </w:t>
      </w:r>
      <w:r w:rsidRPr="00661753">
        <w:rPr>
          <w:u w:val="single"/>
        </w:rPr>
        <w:t>Measurements at 20</w:t>
      </w:r>
      <w:r w:rsidR="00900154">
        <w:rPr>
          <w:u w:val="single"/>
        </w:rPr>
        <w:t>-22</w:t>
      </w:r>
      <w:r w:rsidRPr="00661753">
        <w:rPr>
          <w:u w:val="single"/>
        </w:rPr>
        <w:t xml:space="preserve"> K </w:t>
      </w:r>
      <w:r w:rsidR="00900154" w:rsidRPr="00900154">
        <w:rPr>
          <w:i/>
          <w:iCs/>
          <w:u w:val="single"/>
        </w:rPr>
        <w:t>may</w:t>
      </w:r>
      <w:r w:rsidRPr="00661753">
        <w:rPr>
          <w:u w:val="single"/>
        </w:rPr>
        <w:t xml:space="preserve"> be accepted for the low-temperature resistance</w:t>
      </w:r>
      <w:r w:rsidR="00900154">
        <w:rPr>
          <w:u w:val="single"/>
        </w:rPr>
        <w:t xml:space="preserve"> only after validation proof in the form of benchmarking exercises involving LBNL or FNAL or their subcontractors</w:t>
      </w:r>
      <w:r>
        <w:t>.</w:t>
      </w:r>
    </w:p>
    <w:p w14:paraId="404AA298" w14:textId="70380244" w:rsidR="0067210B" w:rsidRDefault="0067210B" w:rsidP="00900154">
      <w:pPr>
        <w:pStyle w:val="Heading3"/>
        <w:numPr>
          <w:ilvl w:val="0"/>
          <w:numId w:val="0"/>
        </w:numPr>
        <w:ind w:left="720"/>
      </w:pPr>
      <w:r w:rsidRPr="001D7380">
        <w:t>Manufacturer shall note that the international standard accommodates convenient ambient measurements at 20 ± 10°C via a correction formula.  Manufacturer also shall note that thermometry need not be used for the cryogenic measurement if the international standard is followed properly.</w:t>
      </w:r>
    </w:p>
    <w:p w14:paraId="0A4C822E" w14:textId="77777777" w:rsidR="0067210B" w:rsidRDefault="0067210B" w:rsidP="0067210B">
      <w:pPr>
        <w:pStyle w:val="Heading2"/>
      </w:pPr>
      <w:bookmarkStart w:id="99" w:name="_Toc410209119"/>
      <w:r w:rsidRPr="009C4069">
        <w:t>Magnetization</w:t>
      </w:r>
      <w:bookmarkEnd w:id="99"/>
    </w:p>
    <w:p w14:paraId="342AD3D6" w14:textId="2F0DE006" w:rsidR="0067210B" w:rsidRPr="00900154" w:rsidRDefault="00900154" w:rsidP="00900154">
      <w:pPr>
        <w:pStyle w:val="Heading3"/>
      </w:pPr>
      <w:r w:rsidRPr="00900154">
        <w:t>Magnetization data are welcomed but not required</w:t>
      </w:r>
      <w:r>
        <w:t xml:space="preserve"> in the QC data package submitted for shipment approval</w:t>
      </w:r>
      <w:r w:rsidR="0067210B" w:rsidRPr="00900154">
        <w:t>.</w:t>
      </w:r>
    </w:p>
    <w:p w14:paraId="247E1E28" w14:textId="31B2D1F7" w:rsidR="0067210B" w:rsidRDefault="0067210B" w:rsidP="00900154">
      <w:pPr>
        <w:pStyle w:val="Heading3"/>
      </w:pPr>
      <w:r>
        <w:t xml:space="preserve">A strand </w:t>
      </w:r>
      <w:r w:rsidR="00900154">
        <w:t xml:space="preserve">design </w:t>
      </w:r>
      <w:r>
        <w:t>that exhibits flux jumps in perpendicular magnetic fields above 2.7 T at 4.2 K is not acceptable.</w:t>
      </w:r>
    </w:p>
    <w:p w14:paraId="1557BB00" w14:textId="5156A7CC" w:rsidR="0067210B" w:rsidRPr="00150887" w:rsidRDefault="0067210B" w:rsidP="00900154">
      <w:pPr>
        <w:pStyle w:val="Heading3"/>
      </w:pPr>
      <w:r w:rsidRPr="00150887">
        <w:t>A vibrating sample magnetometer, extraction magnetometer, or SQUID magnetometer shall be used for the magnetization measurement.  Supplier shall notice that many instruments report magnetic moment in emu (electromagnetic units) instead of A m</w:t>
      </w:r>
      <w:r w:rsidRPr="00150887">
        <w:rPr>
          <w:vertAlign w:val="superscript"/>
        </w:rPr>
        <w:t>2</w:t>
      </w:r>
      <w:r w:rsidRPr="00150887">
        <w:t>.  Supplier shall take careful note of any conversions used; the conversion from emu to A m</w:t>
      </w:r>
      <w:r w:rsidRPr="00150887">
        <w:rPr>
          <w:vertAlign w:val="superscript"/>
        </w:rPr>
        <w:t>2</w:t>
      </w:r>
      <w:r w:rsidRPr="00150887">
        <w:t xml:space="preserve"> is to divide emu by 1,000.  </w:t>
      </w:r>
    </w:p>
    <w:p w14:paraId="61ADBA00" w14:textId="77777777" w:rsidR="0067210B" w:rsidRDefault="0067210B" w:rsidP="0067210B">
      <w:pPr>
        <w:pStyle w:val="Heading1"/>
      </w:pPr>
      <w:bookmarkStart w:id="100" w:name="_Ref410051027"/>
      <w:bookmarkStart w:id="101" w:name="_Toc410209120"/>
      <w:bookmarkStart w:id="102" w:name="_Toc456780811"/>
      <w:r>
        <w:t>MECHANICAL REQUIREMENTS</w:t>
      </w:r>
      <w:bookmarkEnd w:id="100"/>
      <w:bookmarkEnd w:id="101"/>
      <w:r>
        <w:t xml:space="preserve"> AND MECHANICAL TESTING</w:t>
      </w:r>
      <w:bookmarkEnd w:id="102"/>
    </w:p>
    <w:p w14:paraId="60C58B62" w14:textId="77777777" w:rsidR="0067210B" w:rsidRDefault="0067210B" w:rsidP="0067210B">
      <w:pPr>
        <w:pStyle w:val="Heading2"/>
      </w:pPr>
      <w:bookmarkStart w:id="103" w:name="_Toc410209121"/>
      <w:bookmarkStart w:id="104" w:name="_Ref404697689"/>
      <w:r>
        <w:t>Sharp bend test</w:t>
      </w:r>
      <w:bookmarkEnd w:id="103"/>
    </w:p>
    <w:p w14:paraId="15811256" w14:textId="77777777" w:rsidR="0067210B" w:rsidRPr="00A87609" w:rsidRDefault="0067210B" w:rsidP="0067210B">
      <w:r>
        <w:t>A strand at final diameter in the un-reacted state shall withstand a bend that folds the wire back upon itself lengthwise without cracking or rupture.  Upon etching the copper from the bent region, no broken sub-elements shall be visible.</w:t>
      </w:r>
    </w:p>
    <w:p w14:paraId="13A917A8" w14:textId="77777777" w:rsidR="0067210B" w:rsidRPr="001D7380" w:rsidRDefault="0067210B" w:rsidP="0067210B">
      <w:pPr>
        <w:pStyle w:val="Heading2"/>
      </w:pPr>
      <w:bookmarkStart w:id="105" w:name="_Toc410209122"/>
      <w:r w:rsidRPr="006B699E">
        <w:t>Strand Spring-Back:</w:t>
      </w:r>
      <w:bookmarkEnd w:id="104"/>
      <w:bookmarkEnd w:id="105"/>
      <w:r w:rsidRPr="006B699E">
        <w:t xml:space="preserve"> </w:t>
      </w:r>
    </w:p>
    <w:p w14:paraId="58FD342A" w14:textId="77777777" w:rsidR="0067210B" w:rsidRDefault="0067210B" w:rsidP="00900154">
      <w:pPr>
        <w:pStyle w:val="Heading3"/>
      </w:pPr>
      <w:r>
        <w:t>Final diameter strand shall not spring back more than 720 arc degrees.</w:t>
      </w:r>
    </w:p>
    <w:p w14:paraId="04C70894" w14:textId="77777777" w:rsidR="0067210B" w:rsidRPr="001D7380" w:rsidRDefault="0067210B" w:rsidP="00900154">
      <w:pPr>
        <w:pStyle w:val="Heading3"/>
      </w:pPr>
      <w:r w:rsidRPr="001D7380">
        <w:lastRenderedPageBreak/>
        <w:t>A 10-turn, 10 mm diameter helix shall be wound with 20 N tension and the ends shall be marked.  Upon removal of tension, the helix will unwind.  The angular rotation of the marked ends during unwinding of this spring is defined as the spring-back.</w:t>
      </w:r>
    </w:p>
    <w:p w14:paraId="62A0B6A8" w14:textId="77777777" w:rsidR="0067210B" w:rsidRPr="001D7380" w:rsidRDefault="0067210B" w:rsidP="0067210B">
      <w:pPr>
        <w:pStyle w:val="Heading1"/>
      </w:pPr>
      <w:bookmarkStart w:id="106" w:name="_Ref410051031"/>
      <w:bookmarkStart w:id="107" w:name="_Toc410209123"/>
      <w:bookmarkStart w:id="108" w:name="_Toc456780812"/>
      <w:r>
        <w:t>HEAT TREATMENT REQUIREMENTS</w:t>
      </w:r>
      <w:bookmarkEnd w:id="106"/>
      <w:bookmarkEnd w:id="107"/>
      <w:bookmarkEnd w:id="108"/>
    </w:p>
    <w:p w14:paraId="4A8C4145" w14:textId="77777777" w:rsidR="0067210B" w:rsidRDefault="0067210B" w:rsidP="0067210B">
      <w:pPr>
        <w:pStyle w:val="Heading2"/>
      </w:pPr>
      <w:bookmarkStart w:id="109" w:name="_Toc410209124"/>
      <w:r>
        <w:t>Schedule</w:t>
      </w:r>
      <w:bookmarkEnd w:id="109"/>
    </w:p>
    <w:p w14:paraId="01B0BFAC" w14:textId="77777777" w:rsidR="0067210B" w:rsidRPr="001D7380" w:rsidRDefault="0067210B" w:rsidP="00900154">
      <w:pPr>
        <w:pStyle w:val="Heading3"/>
      </w:pPr>
      <w:r w:rsidRPr="001D7380">
        <w:t>The manufacturer shall recommend a heat treatment (HT) schedule</w:t>
      </w:r>
      <w:r>
        <w:t xml:space="preserve"> based on internal verification tests</w:t>
      </w:r>
      <w:r w:rsidRPr="001D7380">
        <w:t>. The schedule shall be chosen to ensure performance of delivered pieces meets or exceeds the required specifications</w:t>
      </w:r>
      <w:r>
        <w:t xml:space="preserve"> after reaction, as well as meet the other constraints below</w:t>
      </w:r>
      <w:r w:rsidRPr="001D7380">
        <w:t xml:space="preserve">.  </w:t>
      </w:r>
      <w:r w:rsidRPr="000A22FF">
        <w:rPr>
          <w:u w:val="single"/>
        </w:rPr>
        <w:t>Once approved by purchaser, the HT schedule shall not change for all materials delivered except by written notification from the purchaser.</w:t>
      </w:r>
    </w:p>
    <w:p w14:paraId="74B5E786" w14:textId="50A80A5F" w:rsidR="0067210B" w:rsidRDefault="0067210B" w:rsidP="00900154">
      <w:pPr>
        <w:pStyle w:val="Heading3"/>
      </w:pPr>
      <w:r>
        <w:t xml:space="preserve">The total duration of the heat treatment, from the time when temperature starts its first increase to the time at which the furnace is turned off and allowed to cool from high temperature, shall not exceed </w:t>
      </w:r>
      <w:r w:rsidR="00C735D1">
        <w:t>30</w:t>
      </w:r>
      <w:r>
        <w:t>0 hours.</w:t>
      </w:r>
    </w:p>
    <w:p w14:paraId="017FE8D0" w14:textId="77777777" w:rsidR="0067210B" w:rsidRDefault="0067210B" w:rsidP="00900154">
      <w:pPr>
        <w:pStyle w:val="Heading3"/>
      </w:pPr>
      <w:r w:rsidRPr="001D7380">
        <w:t>The heat treatment time durin</w:t>
      </w:r>
      <w:r>
        <w:t>g the high temperature reaction segment, during which time the Nb</w:t>
      </w:r>
      <w:r>
        <w:rPr>
          <w:vertAlign w:val="subscript"/>
        </w:rPr>
        <w:t>3</w:t>
      </w:r>
      <w:r>
        <w:t>Sn is formed, shall not be less</w:t>
      </w:r>
      <w:r w:rsidRPr="001D7380">
        <w:t xml:space="preserve"> than 40 h</w:t>
      </w:r>
      <w:r>
        <w:t xml:space="preserve">ours.  </w:t>
      </w:r>
    </w:p>
    <w:p w14:paraId="2313119C" w14:textId="39D03D70" w:rsidR="0067210B" w:rsidRPr="00BB2569" w:rsidRDefault="0067210B" w:rsidP="00900154">
      <w:pPr>
        <w:pStyle w:val="Heading3"/>
      </w:pPr>
      <w:r>
        <w:t>The heat treatment shall not incorporate temperature increase at a rate faster than 50°C per hour.  Supplier shall take note that finished magnets have large mass, which prohibits rapid thermal cycles.  Temperature ramp rates shall not affect the final performance.</w:t>
      </w:r>
    </w:p>
    <w:p w14:paraId="2D97614B" w14:textId="77A218F6" w:rsidR="0067210B" w:rsidRPr="001D7380" w:rsidRDefault="0067210B" w:rsidP="00900154">
      <w:pPr>
        <w:pStyle w:val="Heading3"/>
      </w:pPr>
      <w:r>
        <w:t xml:space="preserve">The maximum temperature shall be </w:t>
      </w:r>
      <w:r w:rsidRPr="001D7380">
        <w:t>as low as possible</w:t>
      </w:r>
      <w:r>
        <w:t xml:space="preserve">, yet sufficient </w:t>
      </w:r>
      <w:r w:rsidR="00C735D1">
        <w:t xml:space="preserve">to guarantee performance and </w:t>
      </w:r>
      <w:r>
        <w:t xml:space="preserve">to </w:t>
      </w:r>
      <w:r w:rsidR="00C735D1">
        <w:t>ensure the Cu-Sn alloy left in the subelement at the end of the reaction heat treatment will comprise α-phase solid solution only</w:t>
      </w:r>
      <w:r w:rsidRPr="001D7380">
        <w:t>.</w:t>
      </w:r>
      <w:r w:rsidR="00C735D1">
        <w:t xml:space="preserve">  </w:t>
      </w:r>
    </w:p>
    <w:p w14:paraId="237C5480" w14:textId="77777777" w:rsidR="0067210B" w:rsidRPr="001D7380" w:rsidRDefault="0067210B" w:rsidP="00900154">
      <w:pPr>
        <w:pStyle w:val="Heading3"/>
      </w:pPr>
      <w:r w:rsidRPr="001D7380">
        <w:t xml:space="preserve">The recommended heat treatment environment shall be flowing </w:t>
      </w:r>
      <w:proofErr w:type="spellStart"/>
      <w:r w:rsidRPr="001D7380">
        <w:t>Ar</w:t>
      </w:r>
      <w:proofErr w:type="spellEnd"/>
      <w:r w:rsidRPr="001D7380">
        <w:t xml:space="preserve"> at a</w:t>
      </w:r>
      <w:r>
        <w:t>tmospheric pressure or vacuum.</w:t>
      </w:r>
    </w:p>
    <w:p w14:paraId="73C270F3" w14:textId="60D4C9C6" w:rsidR="0067210B" w:rsidRPr="001D7380" w:rsidRDefault="0067210B" w:rsidP="00900154">
      <w:pPr>
        <w:pStyle w:val="Heading3"/>
      </w:pPr>
      <w:bookmarkStart w:id="110" w:name="_Ref456705302"/>
      <w:r w:rsidRPr="001D7380">
        <w:t xml:space="preserve">Any HT performed by the manufacturer for purposes of </w:t>
      </w:r>
      <w:r>
        <w:t>verification</w:t>
      </w:r>
      <w:r w:rsidRPr="001D7380">
        <w:t xml:space="preserve"> testing must be identical to the HT recommended </w:t>
      </w:r>
      <w:r>
        <w:t xml:space="preserve">for delivered product.  This includes exposure to the heat treatment environment for all samples; special shielding or other provisions will invalidate the </w:t>
      </w:r>
      <w:r w:rsidR="00C735D1">
        <w:t>supplier QC</w:t>
      </w:r>
      <w:r>
        <w:t xml:space="preserve"> tests</w:t>
      </w:r>
      <w:r w:rsidR="00C735D1">
        <w:t xml:space="preserve"> unless explicit written agreement has been given by the purchaser</w:t>
      </w:r>
      <w:r>
        <w:t>.</w:t>
      </w:r>
      <w:bookmarkEnd w:id="110"/>
    </w:p>
    <w:p w14:paraId="0574168D" w14:textId="77777777" w:rsidR="0067210B" w:rsidRDefault="0067210B" w:rsidP="0067210B">
      <w:pPr>
        <w:pStyle w:val="Heading2"/>
      </w:pPr>
      <w:bookmarkStart w:id="111" w:name="_Toc410209125"/>
      <w:r>
        <w:t>Uncertainty</w:t>
      </w:r>
      <w:bookmarkEnd w:id="111"/>
    </w:p>
    <w:p w14:paraId="5191C942" w14:textId="77777777" w:rsidR="0067210B" w:rsidRDefault="0067210B" w:rsidP="0067210B">
      <w:r w:rsidRPr="001D7380">
        <w:t xml:space="preserve">Manufacturer’s HT equipment shall comply within the following uncertainty: </w:t>
      </w:r>
    </w:p>
    <w:p w14:paraId="60E2BEFE" w14:textId="77777777" w:rsidR="0067210B" w:rsidRDefault="0067210B" w:rsidP="00900154">
      <w:pPr>
        <w:pStyle w:val="Heading3"/>
      </w:pPr>
      <w:r>
        <w:t>A</w:t>
      </w:r>
      <w:r w:rsidRPr="001D7380">
        <w:t xml:space="preserve">ll thermocouples used for recording the sample temperature must be calibrated to within ±1°C </w:t>
      </w:r>
      <w:r>
        <w:t>at the maximum HT temperature</w:t>
      </w:r>
    </w:p>
    <w:p w14:paraId="75C60431" w14:textId="77777777" w:rsidR="0067210B" w:rsidRDefault="0067210B" w:rsidP="00900154">
      <w:pPr>
        <w:pStyle w:val="Heading3"/>
      </w:pPr>
      <w:r>
        <w:t>A</w:t>
      </w:r>
      <w:r w:rsidRPr="001D7380">
        <w:t>ctual thermocouple readings at sample positions shall be within of 2 °C of each other</w:t>
      </w:r>
      <w:r>
        <w:t>.</w:t>
      </w:r>
    </w:p>
    <w:p w14:paraId="489BB78C" w14:textId="77777777" w:rsidR="0067210B" w:rsidRDefault="0067210B" w:rsidP="00900154">
      <w:pPr>
        <w:pStyle w:val="Heading3"/>
      </w:pPr>
      <w:r>
        <w:t>T</w:t>
      </w:r>
      <w:r w:rsidRPr="001D7380">
        <w:t>he average of all thermocouples must be within ±5°C of the target temperatures for any dwell stage</w:t>
      </w:r>
      <w:r>
        <w:t>.</w:t>
      </w:r>
      <w:r w:rsidRPr="001D7380">
        <w:t xml:space="preserve"> </w:t>
      </w:r>
    </w:p>
    <w:p w14:paraId="18DD577E" w14:textId="77777777" w:rsidR="0067210B" w:rsidRPr="001D7380" w:rsidRDefault="0067210B" w:rsidP="00900154">
      <w:pPr>
        <w:pStyle w:val="Heading3"/>
      </w:pPr>
      <w:r>
        <w:t>T</w:t>
      </w:r>
      <w:r w:rsidRPr="001D7380">
        <w:t>he dwell time, from the point in time when the average temperature reaches within ±5°C of the temperature dwell target, until the point in time that the temperature falls outside ±5°C of the dwell target, must be within ±2 h of the target dwell time.</w:t>
      </w:r>
    </w:p>
    <w:p w14:paraId="7E724A3F" w14:textId="77777777" w:rsidR="0067210B" w:rsidRDefault="0067210B" w:rsidP="0067210B">
      <w:pPr>
        <w:pStyle w:val="Heading1"/>
      </w:pPr>
      <w:bookmarkStart w:id="112" w:name="_Toc456780813"/>
      <w:r>
        <w:t>other TESTING AND REPORTING REQUIREMENTS</w:t>
      </w:r>
      <w:bookmarkEnd w:id="112"/>
    </w:p>
    <w:p w14:paraId="01974C0D" w14:textId="77777777" w:rsidR="0067210B" w:rsidRDefault="0067210B" w:rsidP="0067210B">
      <w:r>
        <w:t>Supplier shall submit a quality plan that includes testing to verify compliance with this specification.    The following items are required elements of the plan.</w:t>
      </w:r>
    </w:p>
    <w:p w14:paraId="244D3743" w14:textId="77777777" w:rsidR="0067210B" w:rsidRDefault="0067210B" w:rsidP="0067210B">
      <w:pPr>
        <w:pStyle w:val="Heading2"/>
      </w:pPr>
      <w:bookmarkStart w:id="113" w:name="_Toc414011303"/>
      <w:r>
        <w:lastRenderedPageBreak/>
        <w:t>Raw materials</w:t>
      </w:r>
      <w:bookmarkEnd w:id="113"/>
    </w:p>
    <w:p w14:paraId="414DC315" w14:textId="77777777" w:rsidR="0067210B" w:rsidRDefault="0067210B" w:rsidP="0067210B">
      <w:r>
        <w:t>Supplier shall verify the following properties for each lot received: copper RRR, niobium RRR, niobium mechanical properties, niobium microstructure, and chemical assay for all components.</w:t>
      </w:r>
    </w:p>
    <w:p w14:paraId="5F41D561" w14:textId="77777777" w:rsidR="0067210B" w:rsidRDefault="0067210B" w:rsidP="0067210B">
      <w:pPr>
        <w:pStyle w:val="Heading2"/>
      </w:pPr>
      <w:bookmarkStart w:id="114" w:name="_Toc414011304"/>
      <w:r>
        <w:t>Minimum sampling rate for conductor physical and electromagnetic property tests</w:t>
      </w:r>
      <w:bookmarkEnd w:id="114"/>
    </w:p>
    <w:p w14:paraId="7BA3DD2D" w14:textId="48AC497D" w:rsidR="0067210B" w:rsidRDefault="0067210B" w:rsidP="0067210B">
      <w:r>
        <w:t xml:space="preserve">A schematic of the </w:t>
      </w:r>
      <w:r>
        <w:rPr>
          <w:i/>
        </w:rPr>
        <w:t xml:space="preserve">minimum </w:t>
      </w:r>
      <w:r>
        <w:t xml:space="preserve">sampling rate for each wire billet is shown in </w:t>
      </w:r>
      <w:r w:rsidR="001026E8">
        <w:t xml:space="preserve">the Tables in </w:t>
      </w:r>
      <w:r w:rsidR="001026E8">
        <w:fldChar w:fldCharType="begin"/>
      </w:r>
      <w:r w:rsidR="001026E8">
        <w:instrText xml:space="preserve"> REF _Ref37341206 \r \h </w:instrText>
      </w:r>
      <w:r w:rsidR="001026E8">
        <w:fldChar w:fldCharType="separate"/>
      </w:r>
      <w:r w:rsidR="00C75BD8">
        <w:t>9.3</w:t>
      </w:r>
      <w:r w:rsidR="001026E8">
        <w:fldChar w:fldCharType="end"/>
      </w:r>
      <w:r>
        <w:t xml:space="preserve">.  In general, strand pieces for verification testing shall be taken from production pieces at the extremities of the billet (the “P” and “T” locations, sometimes called “front end” and “back end”). </w:t>
      </w:r>
    </w:p>
    <w:p w14:paraId="5868F99D" w14:textId="77777777" w:rsidR="0067210B" w:rsidRDefault="0067210B" w:rsidP="0067210B">
      <w:pPr>
        <w:pStyle w:val="Heading2"/>
      </w:pPr>
      <w:bookmarkStart w:id="115" w:name="_Ref37341206"/>
      <w:bookmarkStart w:id="116" w:name="_Toc414011306"/>
      <w:r>
        <w:t>Minimum testing rate for properties</w:t>
      </w:r>
      <w:bookmarkEnd w:id="115"/>
    </w:p>
    <w:p w14:paraId="4E3CD606" w14:textId="77777777" w:rsidR="0067210B" w:rsidRDefault="0067210B" w:rsidP="0067210B">
      <w:r>
        <w:t>The required testing rate at the start of production is specified in the following sections.  Purchaser may designate a different rate of testing at later times, depending on the progress of production.  A production process with good statistical controls is highly desirable, because this should facilitate a reduction of testing frequency at later stages.</w:t>
      </w:r>
    </w:p>
    <w:p w14:paraId="0EEB83CB" w14:textId="77777777" w:rsidR="0067210B" w:rsidRPr="003D5FD7" w:rsidRDefault="0067210B" w:rsidP="00900154">
      <w:pPr>
        <w:pStyle w:val="Heading3"/>
      </w:pPr>
      <w:r>
        <w:t>Conductor physical propert</w:t>
      </w:r>
      <w:bookmarkEnd w:id="116"/>
      <w:r>
        <w:t>y testing</w:t>
      </w:r>
    </w:p>
    <w:tbl>
      <w:tblPr>
        <w:tblW w:w="8640"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600" w:firstRow="0" w:lastRow="0" w:firstColumn="0" w:lastColumn="0" w:noHBand="1" w:noVBand="1"/>
      </w:tblPr>
      <w:tblGrid>
        <w:gridCol w:w="3456"/>
        <w:gridCol w:w="5184"/>
      </w:tblGrid>
      <w:tr w:rsidR="0067210B" w:rsidRPr="00625D73" w14:paraId="334DB976" w14:textId="77777777" w:rsidTr="00D94216">
        <w:trPr>
          <w:trHeight w:val="359"/>
          <w:jc w:val="center"/>
        </w:trPr>
        <w:tc>
          <w:tcPr>
            <w:tcW w:w="3456" w:type="dxa"/>
            <w:tcBorders>
              <w:top w:val="single" w:sz="8" w:space="0" w:color="auto"/>
              <w:bottom w:val="double" w:sz="4" w:space="0" w:color="auto"/>
            </w:tcBorders>
            <w:shd w:val="clear" w:color="auto" w:fill="auto"/>
            <w:noWrap/>
            <w:vAlign w:val="bottom"/>
          </w:tcPr>
          <w:p w14:paraId="7C2BAD87" w14:textId="77777777" w:rsidR="0067210B" w:rsidRPr="00A03078" w:rsidRDefault="0067210B" w:rsidP="00D94216">
            <w:pPr>
              <w:pStyle w:val="Table1"/>
            </w:pPr>
            <w:r w:rsidRPr="00A03078">
              <w:t>Parameter or characteristic</w:t>
            </w:r>
          </w:p>
        </w:tc>
        <w:tc>
          <w:tcPr>
            <w:tcW w:w="5184" w:type="dxa"/>
            <w:tcBorders>
              <w:top w:val="single" w:sz="8" w:space="0" w:color="auto"/>
              <w:bottom w:val="double" w:sz="4" w:space="0" w:color="auto"/>
            </w:tcBorders>
            <w:shd w:val="clear" w:color="auto" w:fill="auto"/>
            <w:noWrap/>
            <w:vAlign w:val="bottom"/>
          </w:tcPr>
          <w:p w14:paraId="32AD0962" w14:textId="77777777" w:rsidR="0067210B" w:rsidRPr="00A03078" w:rsidRDefault="0067210B" w:rsidP="00D94216">
            <w:pPr>
              <w:pStyle w:val="Table1"/>
            </w:pPr>
            <w:r>
              <w:t>Testing rate</w:t>
            </w:r>
          </w:p>
        </w:tc>
      </w:tr>
      <w:tr w:rsidR="0067210B" w:rsidRPr="00625D73" w14:paraId="77A5D308" w14:textId="77777777" w:rsidTr="00D94216">
        <w:trPr>
          <w:trHeight w:val="359"/>
          <w:jc w:val="center"/>
        </w:trPr>
        <w:tc>
          <w:tcPr>
            <w:tcW w:w="3456" w:type="dxa"/>
            <w:tcBorders>
              <w:top w:val="single" w:sz="6" w:space="0" w:color="auto"/>
            </w:tcBorders>
            <w:shd w:val="clear" w:color="auto" w:fill="auto"/>
            <w:noWrap/>
            <w:vAlign w:val="bottom"/>
          </w:tcPr>
          <w:p w14:paraId="47D0BAEF" w14:textId="77777777" w:rsidR="0067210B" w:rsidRPr="00625D73" w:rsidRDefault="0067210B" w:rsidP="00D94216">
            <w:pPr>
              <w:pStyle w:val="Table1"/>
            </w:pPr>
            <w:r>
              <w:t>Strand diameter</w:t>
            </w:r>
          </w:p>
        </w:tc>
        <w:tc>
          <w:tcPr>
            <w:tcW w:w="5184" w:type="dxa"/>
            <w:tcBorders>
              <w:top w:val="single" w:sz="6" w:space="0" w:color="auto"/>
            </w:tcBorders>
            <w:shd w:val="clear" w:color="auto" w:fill="auto"/>
            <w:noWrap/>
            <w:vAlign w:val="bottom"/>
          </w:tcPr>
          <w:p w14:paraId="2DA03F36" w14:textId="74CA7617" w:rsidR="0067210B" w:rsidRPr="00625D73" w:rsidRDefault="0067210B" w:rsidP="00D94216">
            <w:pPr>
              <w:pStyle w:val="Table1"/>
            </w:pPr>
            <w:r>
              <w:t xml:space="preserve">Each piece, see </w:t>
            </w:r>
            <w:r w:rsidR="00C75BD8">
              <w:fldChar w:fldCharType="begin"/>
            </w:r>
            <w:r w:rsidR="00C75BD8">
              <w:instrText xml:space="preserve"> REF _Ref404695160 \r \h </w:instrText>
            </w:r>
            <w:r w:rsidR="00C75BD8">
              <w:fldChar w:fldCharType="separate"/>
            </w:r>
            <w:r w:rsidR="00C75BD8">
              <w:t>5.1</w:t>
            </w:r>
            <w:r w:rsidR="00C75BD8">
              <w:fldChar w:fldCharType="end"/>
            </w:r>
          </w:p>
        </w:tc>
      </w:tr>
      <w:tr w:rsidR="0067210B" w:rsidRPr="00625D73" w14:paraId="142DB5E8" w14:textId="77777777" w:rsidTr="00D94216">
        <w:trPr>
          <w:trHeight w:val="359"/>
          <w:jc w:val="center"/>
        </w:trPr>
        <w:tc>
          <w:tcPr>
            <w:tcW w:w="3456" w:type="dxa"/>
            <w:tcBorders>
              <w:top w:val="single" w:sz="6" w:space="0" w:color="auto"/>
            </w:tcBorders>
            <w:shd w:val="clear" w:color="auto" w:fill="auto"/>
            <w:noWrap/>
            <w:vAlign w:val="bottom"/>
          </w:tcPr>
          <w:p w14:paraId="2F9DC0A2" w14:textId="77777777" w:rsidR="0067210B" w:rsidRPr="00625D73" w:rsidRDefault="0067210B" w:rsidP="00D94216">
            <w:pPr>
              <w:pStyle w:val="Table1"/>
            </w:pPr>
            <w:r>
              <w:t>Ovality</w:t>
            </w:r>
          </w:p>
        </w:tc>
        <w:tc>
          <w:tcPr>
            <w:tcW w:w="5184" w:type="dxa"/>
            <w:tcBorders>
              <w:top w:val="single" w:sz="6" w:space="0" w:color="auto"/>
            </w:tcBorders>
            <w:shd w:val="clear" w:color="auto" w:fill="auto"/>
            <w:noWrap/>
            <w:vAlign w:val="bottom"/>
          </w:tcPr>
          <w:p w14:paraId="51F3E1E3" w14:textId="2E6DBEAC" w:rsidR="0067210B" w:rsidRDefault="0067210B" w:rsidP="00D94216">
            <w:pPr>
              <w:pStyle w:val="Table1"/>
            </w:pPr>
            <w:r>
              <w:t xml:space="preserve">Each piece, see </w:t>
            </w:r>
            <w:r w:rsidR="00C75BD8">
              <w:fldChar w:fldCharType="begin"/>
            </w:r>
            <w:r w:rsidR="00C75BD8">
              <w:instrText xml:space="preserve"> REF _Ref404695160 \r \h </w:instrText>
            </w:r>
            <w:r w:rsidR="00C75BD8">
              <w:fldChar w:fldCharType="separate"/>
            </w:r>
            <w:r w:rsidR="00C75BD8">
              <w:t>5.1</w:t>
            </w:r>
            <w:r w:rsidR="00C75BD8">
              <w:fldChar w:fldCharType="end"/>
            </w:r>
          </w:p>
        </w:tc>
      </w:tr>
      <w:tr w:rsidR="0067210B" w:rsidRPr="00625D73" w14:paraId="18836C1C" w14:textId="77777777" w:rsidTr="00D94216">
        <w:trPr>
          <w:trHeight w:val="359"/>
          <w:jc w:val="center"/>
        </w:trPr>
        <w:tc>
          <w:tcPr>
            <w:tcW w:w="3456" w:type="dxa"/>
            <w:tcBorders>
              <w:top w:val="single" w:sz="6" w:space="0" w:color="auto"/>
            </w:tcBorders>
            <w:shd w:val="clear" w:color="auto" w:fill="auto"/>
            <w:noWrap/>
            <w:vAlign w:val="bottom"/>
          </w:tcPr>
          <w:p w14:paraId="38A84319" w14:textId="77777777" w:rsidR="0067210B" w:rsidRPr="00625D73" w:rsidRDefault="0067210B" w:rsidP="00D94216">
            <w:pPr>
              <w:pStyle w:val="Table1"/>
            </w:pPr>
            <w:r w:rsidRPr="00625D73">
              <w:t xml:space="preserve">Twist </w:t>
            </w:r>
            <w:r>
              <w:t xml:space="preserve">Direction and </w:t>
            </w:r>
            <w:r w:rsidRPr="00625D73">
              <w:t>Pitch</w:t>
            </w:r>
          </w:p>
        </w:tc>
        <w:tc>
          <w:tcPr>
            <w:tcW w:w="5184" w:type="dxa"/>
            <w:tcBorders>
              <w:top w:val="single" w:sz="6" w:space="0" w:color="auto"/>
            </w:tcBorders>
            <w:shd w:val="clear" w:color="auto" w:fill="auto"/>
            <w:noWrap/>
            <w:vAlign w:val="bottom"/>
          </w:tcPr>
          <w:p w14:paraId="2A22EA4E" w14:textId="77777777" w:rsidR="0067210B" w:rsidRDefault="0067210B" w:rsidP="00D94216">
            <w:pPr>
              <w:pStyle w:val="Table1"/>
            </w:pPr>
            <w:r>
              <w:t>Each piece</w:t>
            </w:r>
          </w:p>
        </w:tc>
      </w:tr>
      <w:tr w:rsidR="0067210B" w:rsidRPr="00625D73" w14:paraId="37C309B2" w14:textId="77777777" w:rsidTr="00D94216">
        <w:trPr>
          <w:trHeight w:val="359"/>
          <w:jc w:val="center"/>
        </w:trPr>
        <w:tc>
          <w:tcPr>
            <w:tcW w:w="3456" w:type="dxa"/>
            <w:tcBorders>
              <w:top w:val="single" w:sz="6" w:space="0" w:color="auto"/>
            </w:tcBorders>
            <w:shd w:val="clear" w:color="auto" w:fill="auto"/>
            <w:noWrap/>
            <w:vAlign w:val="bottom"/>
          </w:tcPr>
          <w:p w14:paraId="04D72360" w14:textId="77777777" w:rsidR="0067210B" w:rsidRPr="00625D73" w:rsidRDefault="0067210B" w:rsidP="00D94216">
            <w:pPr>
              <w:pStyle w:val="Table1"/>
            </w:pPr>
            <w:r>
              <w:t>Length</w:t>
            </w:r>
          </w:p>
        </w:tc>
        <w:tc>
          <w:tcPr>
            <w:tcW w:w="5184" w:type="dxa"/>
            <w:tcBorders>
              <w:top w:val="single" w:sz="6" w:space="0" w:color="auto"/>
            </w:tcBorders>
            <w:shd w:val="clear" w:color="auto" w:fill="auto"/>
            <w:noWrap/>
            <w:vAlign w:val="bottom"/>
          </w:tcPr>
          <w:p w14:paraId="4C74CC00" w14:textId="77777777" w:rsidR="0067210B" w:rsidRDefault="0067210B" w:rsidP="00D94216">
            <w:pPr>
              <w:pStyle w:val="Table1"/>
            </w:pPr>
            <w:r>
              <w:t>Each piece</w:t>
            </w:r>
          </w:p>
        </w:tc>
      </w:tr>
      <w:tr w:rsidR="0067210B" w:rsidRPr="00625D73" w14:paraId="5B400688" w14:textId="77777777" w:rsidTr="00D94216">
        <w:trPr>
          <w:trHeight w:val="359"/>
          <w:jc w:val="center"/>
        </w:trPr>
        <w:tc>
          <w:tcPr>
            <w:tcW w:w="3456" w:type="dxa"/>
            <w:shd w:val="clear" w:color="auto" w:fill="auto"/>
            <w:noWrap/>
            <w:vAlign w:val="bottom"/>
          </w:tcPr>
          <w:p w14:paraId="5057C881" w14:textId="77777777" w:rsidR="0067210B" w:rsidRPr="00625D73" w:rsidRDefault="0067210B" w:rsidP="00D94216">
            <w:pPr>
              <w:pStyle w:val="Table1"/>
            </w:pPr>
            <w:r w:rsidRPr="00625D73">
              <w:t>Strand Spring Back</w:t>
            </w:r>
          </w:p>
        </w:tc>
        <w:tc>
          <w:tcPr>
            <w:tcW w:w="5184" w:type="dxa"/>
            <w:shd w:val="clear" w:color="auto" w:fill="auto"/>
            <w:noWrap/>
            <w:vAlign w:val="bottom"/>
          </w:tcPr>
          <w:p w14:paraId="52B3EAB5" w14:textId="77777777" w:rsidR="0067210B" w:rsidRPr="00625D73" w:rsidRDefault="0067210B" w:rsidP="00D94216">
            <w:pPr>
              <w:pStyle w:val="Table1"/>
            </w:pPr>
            <w:r>
              <w:t>6 per billet (3 point, 3 tail)</w:t>
            </w:r>
          </w:p>
        </w:tc>
      </w:tr>
      <w:tr w:rsidR="0067210B" w:rsidRPr="00625D73" w14:paraId="7AC9A32B" w14:textId="77777777" w:rsidTr="00D94216">
        <w:trPr>
          <w:trHeight w:val="359"/>
          <w:jc w:val="center"/>
        </w:trPr>
        <w:tc>
          <w:tcPr>
            <w:tcW w:w="3456" w:type="dxa"/>
            <w:shd w:val="clear" w:color="auto" w:fill="auto"/>
            <w:noWrap/>
            <w:vAlign w:val="center"/>
          </w:tcPr>
          <w:p w14:paraId="42477502" w14:textId="77777777" w:rsidR="0067210B" w:rsidRDefault="0067210B" w:rsidP="00D94216">
            <w:pPr>
              <w:pStyle w:val="Table1"/>
            </w:pPr>
            <w:r>
              <w:t>Sharp bend test</w:t>
            </w:r>
          </w:p>
        </w:tc>
        <w:tc>
          <w:tcPr>
            <w:tcW w:w="5184" w:type="dxa"/>
            <w:shd w:val="clear" w:color="auto" w:fill="auto"/>
            <w:noWrap/>
            <w:vAlign w:val="center"/>
          </w:tcPr>
          <w:p w14:paraId="4A60B341" w14:textId="77777777" w:rsidR="0067210B" w:rsidRDefault="0067210B" w:rsidP="00D94216">
            <w:pPr>
              <w:pStyle w:val="Table1"/>
            </w:pPr>
            <w:r>
              <w:t>6 per billet (3 point, 3 tail)</w:t>
            </w:r>
          </w:p>
        </w:tc>
      </w:tr>
      <w:tr w:rsidR="0067210B" w:rsidRPr="00625D73" w14:paraId="194E9083" w14:textId="77777777" w:rsidTr="00D94216">
        <w:trPr>
          <w:trHeight w:val="359"/>
          <w:jc w:val="center"/>
        </w:trPr>
        <w:tc>
          <w:tcPr>
            <w:tcW w:w="3456" w:type="dxa"/>
            <w:shd w:val="clear" w:color="auto" w:fill="auto"/>
            <w:noWrap/>
            <w:vAlign w:val="center"/>
          </w:tcPr>
          <w:p w14:paraId="2485B1AB" w14:textId="77777777" w:rsidR="0067210B" w:rsidRPr="00FF0C71" w:rsidRDefault="0067210B" w:rsidP="00D94216">
            <w:pPr>
              <w:pStyle w:val="Table1"/>
              <w:rPr>
                <w:lang w:val="it-IT"/>
              </w:rPr>
            </w:pPr>
            <w:r w:rsidRPr="00FF0C71">
              <w:rPr>
                <w:lang w:val="it-IT"/>
              </w:rPr>
              <w:t>Cu : Non-Cu volume Ratio (</w:t>
            </w:r>
            <w:r w:rsidRPr="00FF0C71">
              <w:rPr>
                <w:i/>
                <w:lang w:val="it-IT"/>
              </w:rPr>
              <w:t>R</w:t>
            </w:r>
            <w:r w:rsidRPr="00FF0C71">
              <w:rPr>
                <w:lang w:val="it-IT"/>
              </w:rPr>
              <w:t>)</w:t>
            </w:r>
          </w:p>
        </w:tc>
        <w:tc>
          <w:tcPr>
            <w:tcW w:w="5184" w:type="dxa"/>
            <w:shd w:val="clear" w:color="auto" w:fill="auto"/>
            <w:noWrap/>
            <w:vAlign w:val="bottom"/>
          </w:tcPr>
          <w:p w14:paraId="37FDA924" w14:textId="77777777" w:rsidR="0067210B" w:rsidRPr="00625D73" w:rsidRDefault="0067210B" w:rsidP="00D94216">
            <w:pPr>
              <w:pStyle w:val="Table1"/>
            </w:pPr>
            <w:r>
              <w:t>2 per billet</w:t>
            </w:r>
          </w:p>
        </w:tc>
      </w:tr>
      <w:tr w:rsidR="0067210B" w:rsidRPr="00625D73" w14:paraId="0D41E2D4" w14:textId="77777777" w:rsidTr="00D94216">
        <w:trPr>
          <w:trHeight w:val="359"/>
          <w:jc w:val="center"/>
        </w:trPr>
        <w:tc>
          <w:tcPr>
            <w:tcW w:w="3456" w:type="dxa"/>
            <w:shd w:val="clear" w:color="auto" w:fill="auto"/>
            <w:noWrap/>
            <w:vAlign w:val="center"/>
          </w:tcPr>
          <w:p w14:paraId="760AC189" w14:textId="77777777" w:rsidR="0067210B" w:rsidRPr="00625D73" w:rsidRDefault="0067210B" w:rsidP="00D94216">
            <w:pPr>
              <w:pStyle w:val="Table1"/>
            </w:pPr>
            <w:r>
              <w:t xml:space="preserve">Photomicrographs </w:t>
            </w:r>
          </w:p>
        </w:tc>
        <w:tc>
          <w:tcPr>
            <w:tcW w:w="5184" w:type="dxa"/>
            <w:shd w:val="clear" w:color="auto" w:fill="auto"/>
            <w:noWrap/>
            <w:vAlign w:val="bottom"/>
          </w:tcPr>
          <w:p w14:paraId="15AF9DB5" w14:textId="77777777" w:rsidR="0067210B" w:rsidRDefault="0067210B" w:rsidP="00D94216">
            <w:pPr>
              <w:pStyle w:val="Table1"/>
            </w:pPr>
            <w:r>
              <w:t>1 per billet</w:t>
            </w:r>
          </w:p>
        </w:tc>
      </w:tr>
    </w:tbl>
    <w:p w14:paraId="33A789BA" w14:textId="77777777" w:rsidR="0067210B" w:rsidRDefault="0067210B" w:rsidP="0067210B"/>
    <w:p w14:paraId="3D5B6C94" w14:textId="77777777" w:rsidR="0067210B" w:rsidRPr="009340FC" w:rsidRDefault="0067210B" w:rsidP="00900154">
      <w:pPr>
        <w:pStyle w:val="Heading3"/>
      </w:pPr>
      <w:bookmarkStart w:id="117" w:name="_Toc414011307"/>
      <w:bookmarkStart w:id="118" w:name="_Ref482018574"/>
      <w:r>
        <w:t xml:space="preserve">Electromagnetic </w:t>
      </w:r>
      <w:bookmarkEnd w:id="117"/>
      <w:r>
        <w:t>property testing of round wires</w:t>
      </w:r>
      <w:bookmarkEnd w:id="118"/>
    </w:p>
    <w:tbl>
      <w:tblPr>
        <w:tblW w:w="8640"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000" w:firstRow="0" w:lastRow="0" w:firstColumn="0" w:lastColumn="0" w:noHBand="0" w:noVBand="0"/>
      </w:tblPr>
      <w:tblGrid>
        <w:gridCol w:w="3744"/>
        <w:gridCol w:w="4896"/>
      </w:tblGrid>
      <w:tr w:rsidR="0067210B" w:rsidRPr="00625D73" w14:paraId="0F512B79" w14:textId="77777777" w:rsidTr="00D94216">
        <w:trPr>
          <w:trHeight w:val="359"/>
          <w:jc w:val="center"/>
        </w:trPr>
        <w:tc>
          <w:tcPr>
            <w:tcW w:w="3744" w:type="dxa"/>
            <w:tcBorders>
              <w:top w:val="single" w:sz="8" w:space="0" w:color="auto"/>
              <w:bottom w:val="double" w:sz="4" w:space="0" w:color="auto"/>
            </w:tcBorders>
            <w:shd w:val="clear" w:color="auto" w:fill="auto"/>
            <w:noWrap/>
            <w:vAlign w:val="bottom"/>
          </w:tcPr>
          <w:p w14:paraId="77613298" w14:textId="77777777" w:rsidR="0067210B" w:rsidRPr="00A03078" w:rsidRDefault="0067210B" w:rsidP="00D94216">
            <w:pPr>
              <w:pStyle w:val="Table1"/>
            </w:pPr>
            <w:r w:rsidRPr="00A03078">
              <w:t>Parameter or characteristic</w:t>
            </w:r>
          </w:p>
        </w:tc>
        <w:tc>
          <w:tcPr>
            <w:tcW w:w="4896" w:type="dxa"/>
            <w:tcBorders>
              <w:top w:val="single" w:sz="8" w:space="0" w:color="auto"/>
              <w:bottom w:val="double" w:sz="4" w:space="0" w:color="auto"/>
            </w:tcBorders>
            <w:shd w:val="clear" w:color="auto" w:fill="auto"/>
            <w:noWrap/>
            <w:vAlign w:val="bottom"/>
          </w:tcPr>
          <w:p w14:paraId="66DEE056" w14:textId="77777777" w:rsidR="0067210B" w:rsidRPr="00A03078" w:rsidRDefault="0067210B" w:rsidP="00D94216">
            <w:pPr>
              <w:pStyle w:val="Table1"/>
            </w:pPr>
            <w:r>
              <w:t>Testing rate</w:t>
            </w:r>
          </w:p>
        </w:tc>
      </w:tr>
      <w:tr w:rsidR="0067210B" w:rsidRPr="00625D73" w14:paraId="02C77B90" w14:textId="77777777" w:rsidTr="00D94216">
        <w:trPr>
          <w:trHeight w:val="427"/>
          <w:jc w:val="center"/>
        </w:trPr>
        <w:tc>
          <w:tcPr>
            <w:tcW w:w="3744" w:type="dxa"/>
            <w:shd w:val="clear" w:color="auto" w:fill="auto"/>
            <w:noWrap/>
            <w:vAlign w:val="center"/>
          </w:tcPr>
          <w:p w14:paraId="37FD6779" w14:textId="77777777" w:rsidR="0067210B" w:rsidRPr="00625D73" w:rsidRDefault="0067210B" w:rsidP="00D94216">
            <w:pPr>
              <w:pStyle w:val="Table1"/>
            </w:pPr>
            <w:r w:rsidRPr="00625D73">
              <w:t>Critical current</w:t>
            </w:r>
          </w:p>
        </w:tc>
        <w:tc>
          <w:tcPr>
            <w:tcW w:w="4896" w:type="dxa"/>
            <w:shd w:val="clear" w:color="auto" w:fill="auto"/>
            <w:noWrap/>
            <w:vAlign w:val="center"/>
          </w:tcPr>
          <w:p w14:paraId="0F774E5F" w14:textId="312C3397" w:rsidR="0067210B" w:rsidRDefault="0067210B" w:rsidP="00D94216">
            <w:pPr>
              <w:pStyle w:val="Table1"/>
            </w:pPr>
            <w:r>
              <w:t xml:space="preserve">2 per billet (see also </w:t>
            </w:r>
            <w:r>
              <w:fldChar w:fldCharType="begin"/>
            </w:r>
            <w:r>
              <w:instrText xml:space="preserve"> REF _Ref456780021 \r \h </w:instrText>
            </w:r>
            <w:r>
              <w:fldChar w:fldCharType="separate"/>
            </w:r>
            <w:r w:rsidR="00C75BD8">
              <w:t>9.4</w:t>
            </w:r>
            <w:r>
              <w:fldChar w:fldCharType="end"/>
            </w:r>
            <w:r>
              <w:t xml:space="preserve"> below)</w:t>
            </w:r>
          </w:p>
          <w:p w14:paraId="620206B0" w14:textId="5532BC20" w:rsidR="0067210B" w:rsidRPr="00625D73" w:rsidRDefault="0067210B" w:rsidP="00D94216">
            <w:pPr>
              <w:pStyle w:val="Table1"/>
            </w:pPr>
            <w:r>
              <w:t>1</w:t>
            </w:r>
            <w:r w:rsidR="001026E8">
              <w:t>5</w:t>
            </w:r>
            <w:r>
              <w:t xml:space="preserve"> and 1</w:t>
            </w:r>
            <w:r w:rsidR="001026E8">
              <w:t>6</w:t>
            </w:r>
            <w:r>
              <w:t xml:space="preserve"> T, 4.2 K (required)</w:t>
            </w:r>
          </w:p>
        </w:tc>
      </w:tr>
      <w:tr w:rsidR="0067210B" w:rsidRPr="00625D73" w14:paraId="70DD8704" w14:textId="77777777" w:rsidTr="00D94216">
        <w:trPr>
          <w:trHeight w:val="427"/>
          <w:jc w:val="center"/>
        </w:trPr>
        <w:tc>
          <w:tcPr>
            <w:tcW w:w="3744" w:type="dxa"/>
            <w:shd w:val="clear" w:color="auto" w:fill="auto"/>
            <w:noWrap/>
            <w:vAlign w:val="center"/>
          </w:tcPr>
          <w:p w14:paraId="39DBECD3" w14:textId="77777777" w:rsidR="0067210B" w:rsidRPr="00625D73" w:rsidRDefault="0067210B" w:rsidP="00D94216">
            <w:pPr>
              <w:pStyle w:val="Table1"/>
            </w:pPr>
            <w:r w:rsidRPr="00625D73">
              <w:rPr>
                <w:i/>
              </w:rPr>
              <w:t>n</w:t>
            </w:r>
            <w:r w:rsidRPr="00625D73">
              <w:t xml:space="preserve">-value </w:t>
            </w:r>
          </w:p>
        </w:tc>
        <w:tc>
          <w:tcPr>
            <w:tcW w:w="4896" w:type="dxa"/>
            <w:shd w:val="clear" w:color="auto" w:fill="auto"/>
            <w:noWrap/>
            <w:vAlign w:val="center"/>
          </w:tcPr>
          <w:p w14:paraId="45192642" w14:textId="11C86907" w:rsidR="0067210B" w:rsidRPr="00625D73" w:rsidRDefault="0067210B" w:rsidP="00D94216">
            <w:pPr>
              <w:pStyle w:val="Table1"/>
            </w:pPr>
            <w:r>
              <w:t xml:space="preserve">(with tests above; </w:t>
            </w:r>
            <w:r w:rsidR="00C13892">
              <w:t xml:space="preserve">15 T and </w:t>
            </w:r>
            <w:r>
              <w:t>1</w:t>
            </w:r>
            <w:r w:rsidR="001026E8">
              <w:t>6</w:t>
            </w:r>
            <w:r>
              <w:t xml:space="preserve"> T required)</w:t>
            </w:r>
          </w:p>
        </w:tc>
      </w:tr>
      <w:tr w:rsidR="0067210B" w:rsidRPr="00625D73" w14:paraId="55F0F185" w14:textId="77777777" w:rsidTr="00D94216">
        <w:trPr>
          <w:trHeight w:val="359"/>
          <w:jc w:val="center"/>
        </w:trPr>
        <w:tc>
          <w:tcPr>
            <w:tcW w:w="3744" w:type="dxa"/>
            <w:shd w:val="clear" w:color="auto" w:fill="auto"/>
            <w:noWrap/>
            <w:vAlign w:val="center"/>
          </w:tcPr>
          <w:p w14:paraId="7D91AADF" w14:textId="77777777" w:rsidR="0067210B" w:rsidRPr="00625D73" w:rsidRDefault="0067210B" w:rsidP="00D94216">
            <w:pPr>
              <w:pStyle w:val="Table1"/>
            </w:pPr>
            <w:r w:rsidRPr="00625D73">
              <w:t>Residual Resistance Ratio RRR</w:t>
            </w:r>
          </w:p>
        </w:tc>
        <w:tc>
          <w:tcPr>
            <w:tcW w:w="4896" w:type="dxa"/>
            <w:shd w:val="clear" w:color="auto" w:fill="auto"/>
            <w:noWrap/>
            <w:vAlign w:val="center"/>
          </w:tcPr>
          <w:p w14:paraId="5855281E" w14:textId="025CFF8D" w:rsidR="0067210B" w:rsidRPr="00625D73" w:rsidRDefault="0067210B" w:rsidP="00D94216">
            <w:pPr>
              <w:pStyle w:val="Table1"/>
            </w:pPr>
            <w:r>
              <w:t xml:space="preserve">2 per billet (see also </w:t>
            </w:r>
            <w:r>
              <w:fldChar w:fldCharType="begin"/>
            </w:r>
            <w:r>
              <w:instrText xml:space="preserve"> REF _Ref456780021 \r \h </w:instrText>
            </w:r>
            <w:r>
              <w:fldChar w:fldCharType="separate"/>
            </w:r>
            <w:r w:rsidR="00C75BD8">
              <w:t>9.4</w:t>
            </w:r>
            <w:r>
              <w:fldChar w:fldCharType="end"/>
            </w:r>
            <w:r>
              <w:t xml:space="preserve"> below)</w:t>
            </w:r>
          </w:p>
        </w:tc>
      </w:tr>
      <w:tr w:rsidR="0067210B" w:rsidRPr="00625D73" w14:paraId="2E0274B6" w14:textId="77777777" w:rsidTr="00D94216">
        <w:trPr>
          <w:trHeight w:val="359"/>
          <w:jc w:val="center"/>
        </w:trPr>
        <w:tc>
          <w:tcPr>
            <w:tcW w:w="3744" w:type="dxa"/>
            <w:shd w:val="clear" w:color="auto" w:fill="auto"/>
            <w:noWrap/>
            <w:vAlign w:val="center"/>
          </w:tcPr>
          <w:p w14:paraId="176E675E" w14:textId="77777777" w:rsidR="0067210B" w:rsidRPr="005E532C" w:rsidRDefault="0067210B" w:rsidP="00D94216">
            <w:pPr>
              <w:pStyle w:val="Table1"/>
              <w:rPr>
                <w:strike/>
              </w:rPr>
            </w:pPr>
            <w:r w:rsidRPr="005E532C">
              <w:rPr>
                <w:strike/>
              </w:rPr>
              <w:t>Magnetization* at 3 T, 4.2 K</w:t>
            </w:r>
          </w:p>
        </w:tc>
        <w:tc>
          <w:tcPr>
            <w:tcW w:w="4896" w:type="dxa"/>
            <w:shd w:val="clear" w:color="auto" w:fill="auto"/>
            <w:noWrap/>
            <w:vAlign w:val="center"/>
          </w:tcPr>
          <w:p w14:paraId="018031C8" w14:textId="7B797452" w:rsidR="0067210B" w:rsidRPr="00625D73" w:rsidRDefault="0067210B" w:rsidP="00D94216">
            <w:pPr>
              <w:pStyle w:val="Table1"/>
            </w:pPr>
            <w:r>
              <w:t>(No</w:t>
            </w:r>
            <w:r w:rsidR="001026E8">
              <w:t>t</w:t>
            </w:r>
            <w:r>
              <w:t xml:space="preserve"> required)</w:t>
            </w:r>
            <w:r w:rsidRPr="00625D73">
              <w:t xml:space="preserve"> </w:t>
            </w:r>
          </w:p>
        </w:tc>
      </w:tr>
    </w:tbl>
    <w:p w14:paraId="2F4446A8" w14:textId="77777777" w:rsidR="0067210B" w:rsidRDefault="0067210B" w:rsidP="0067210B"/>
    <w:p w14:paraId="69576685" w14:textId="77777777" w:rsidR="0067210B" w:rsidRDefault="0067210B" w:rsidP="0067210B"/>
    <w:p w14:paraId="5904E973" w14:textId="77777777" w:rsidR="0067210B" w:rsidRDefault="0067210B" w:rsidP="00900154">
      <w:pPr>
        <w:pStyle w:val="Heading3"/>
      </w:pPr>
      <w:r>
        <w:t>Electromagnetic property testing of rolled wires</w:t>
      </w:r>
    </w:p>
    <w:p w14:paraId="2C7CBCF1" w14:textId="1D7C2F8C" w:rsidR="0067210B" w:rsidRPr="000A22FF" w:rsidRDefault="0067210B" w:rsidP="0067210B">
      <w:r>
        <w:t>Supplier shall conduct tests for verification pieces rolled to 0.</w:t>
      </w:r>
      <w:r w:rsidR="001026E8">
        <w:t>93</w:t>
      </w:r>
      <w:r>
        <w:t>5 mm thickness (i.e. 15% reduction).  Supplier shall place the flat surface of the rolled sample against the test mandrel when conducting electromagnetic property testing.</w:t>
      </w:r>
    </w:p>
    <w:tbl>
      <w:tblPr>
        <w:tblW w:w="8640"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000" w:firstRow="0" w:lastRow="0" w:firstColumn="0" w:lastColumn="0" w:noHBand="0" w:noVBand="0"/>
      </w:tblPr>
      <w:tblGrid>
        <w:gridCol w:w="3744"/>
        <w:gridCol w:w="4896"/>
      </w:tblGrid>
      <w:tr w:rsidR="0067210B" w:rsidRPr="00625D73" w14:paraId="44E006F9" w14:textId="77777777" w:rsidTr="00D94216">
        <w:trPr>
          <w:trHeight w:val="359"/>
          <w:jc w:val="center"/>
        </w:trPr>
        <w:tc>
          <w:tcPr>
            <w:tcW w:w="3744" w:type="dxa"/>
            <w:tcBorders>
              <w:top w:val="single" w:sz="8" w:space="0" w:color="auto"/>
              <w:bottom w:val="double" w:sz="4" w:space="0" w:color="auto"/>
            </w:tcBorders>
            <w:shd w:val="clear" w:color="auto" w:fill="auto"/>
            <w:noWrap/>
            <w:vAlign w:val="bottom"/>
          </w:tcPr>
          <w:p w14:paraId="48692D10" w14:textId="77777777" w:rsidR="0067210B" w:rsidRPr="00A03078" w:rsidRDefault="0067210B" w:rsidP="00D94216">
            <w:pPr>
              <w:pStyle w:val="Table1"/>
            </w:pPr>
            <w:r w:rsidRPr="00A03078">
              <w:lastRenderedPageBreak/>
              <w:t>Parameter or characteristic</w:t>
            </w:r>
          </w:p>
        </w:tc>
        <w:tc>
          <w:tcPr>
            <w:tcW w:w="4896" w:type="dxa"/>
            <w:tcBorders>
              <w:top w:val="single" w:sz="8" w:space="0" w:color="auto"/>
              <w:bottom w:val="double" w:sz="4" w:space="0" w:color="auto"/>
            </w:tcBorders>
            <w:shd w:val="clear" w:color="auto" w:fill="auto"/>
            <w:noWrap/>
            <w:vAlign w:val="bottom"/>
          </w:tcPr>
          <w:p w14:paraId="05F28B8B" w14:textId="77777777" w:rsidR="0067210B" w:rsidRPr="00A03078" w:rsidRDefault="0067210B" w:rsidP="00D94216">
            <w:pPr>
              <w:pStyle w:val="Table1"/>
            </w:pPr>
            <w:r>
              <w:t>Testing rate</w:t>
            </w:r>
          </w:p>
        </w:tc>
      </w:tr>
      <w:tr w:rsidR="0067210B" w:rsidRPr="00625D73" w14:paraId="1F3AE677" w14:textId="77777777" w:rsidTr="00D94216">
        <w:trPr>
          <w:trHeight w:val="427"/>
          <w:jc w:val="center"/>
        </w:trPr>
        <w:tc>
          <w:tcPr>
            <w:tcW w:w="3744" w:type="dxa"/>
            <w:shd w:val="clear" w:color="auto" w:fill="auto"/>
            <w:noWrap/>
            <w:vAlign w:val="center"/>
          </w:tcPr>
          <w:p w14:paraId="61785021" w14:textId="77777777" w:rsidR="0067210B" w:rsidRPr="00625D73" w:rsidRDefault="0067210B" w:rsidP="00D94216">
            <w:pPr>
              <w:pStyle w:val="Table1"/>
            </w:pPr>
            <w:r w:rsidRPr="00625D73">
              <w:t>Critical current</w:t>
            </w:r>
          </w:p>
        </w:tc>
        <w:tc>
          <w:tcPr>
            <w:tcW w:w="4896" w:type="dxa"/>
            <w:shd w:val="clear" w:color="auto" w:fill="auto"/>
            <w:noWrap/>
            <w:vAlign w:val="center"/>
          </w:tcPr>
          <w:p w14:paraId="4E749C05" w14:textId="77777777" w:rsidR="0067210B" w:rsidRDefault="0067210B" w:rsidP="00D94216">
            <w:pPr>
              <w:pStyle w:val="Table1"/>
            </w:pPr>
            <w:r>
              <w:t>1 per billet</w:t>
            </w:r>
          </w:p>
          <w:p w14:paraId="5FA6DB60" w14:textId="6A925CF5" w:rsidR="003A2EA0" w:rsidRPr="00625D73" w:rsidRDefault="003A2EA0" w:rsidP="00D94216">
            <w:pPr>
              <w:pStyle w:val="Table1"/>
            </w:pPr>
            <w:r>
              <w:t>15 and 16 T, 4.2 K (required)</w:t>
            </w:r>
          </w:p>
        </w:tc>
      </w:tr>
      <w:tr w:rsidR="0067210B" w:rsidRPr="00625D73" w14:paraId="76BB068F" w14:textId="77777777" w:rsidTr="00D94216">
        <w:trPr>
          <w:trHeight w:val="427"/>
          <w:jc w:val="center"/>
        </w:trPr>
        <w:tc>
          <w:tcPr>
            <w:tcW w:w="3744" w:type="dxa"/>
            <w:shd w:val="clear" w:color="auto" w:fill="auto"/>
            <w:noWrap/>
            <w:vAlign w:val="center"/>
          </w:tcPr>
          <w:p w14:paraId="31A82EFC" w14:textId="77777777" w:rsidR="0067210B" w:rsidRPr="00625D73" w:rsidRDefault="0067210B" w:rsidP="00D94216">
            <w:pPr>
              <w:pStyle w:val="Table1"/>
            </w:pPr>
            <w:r w:rsidRPr="00625D73">
              <w:rPr>
                <w:i/>
              </w:rPr>
              <w:t>n</w:t>
            </w:r>
            <w:r w:rsidRPr="00625D73">
              <w:t xml:space="preserve">-value </w:t>
            </w:r>
          </w:p>
        </w:tc>
        <w:tc>
          <w:tcPr>
            <w:tcW w:w="4896" w:type="dxa"/>
            <w:shd w:val="clear" w:color="auto" w:fill="auto"/>
            <w:noWrap/>
            <w:vAlign w:val="center"/>
          </w:tcPr>
          <w:p w14:paraId="1C1F4587" w14:textId="522B689C" w:rsidR="0067210B" w:rsidRPr="00625D73" w:rsidRDefault="0067210B" w:rsidP="00D94216">
            <w:pPr>
              <w:pStyle w:val="Table1"/>
            </w:pPr>
            <w:r>
              <w:t>(with tests above</w:t>
            </w:r>
            <w:r w:rsidR="003A2EA0">
              <w:t>; 15 T and 16 T required</w:t>
            </w:r>
            <w:r>
              <w:t>)</w:t>
            </w:r>
          </w:p>
        </w:tc>
      </w:tr>
      <w:tr w:rsidR="0067210B" w:rsidRPr="00625D73" w14:paraId="4C189455" w14:textId="77777777" w:rsidTr="00D94216">
        <w:trPr>
          <w:trHeight w:val="359"/>
          <w:jc w:val="center"/>
        </w:trPr>
        <w:tc>
          <w:tcPr>
            <w:tcW w:w="3744" w:type="dxa"/>
            <w:shd w:val="clear" w:color="auto" w:fill="auto"/>
            <w:noWrap/>
            <w:vAlign w:val="center"/>
          </w:tcPr>
          <w:p w14:paraId="7FF796D4" w14:textId="77777777" w:rsidR="0067210B" w:rsidRPr="00625D73" w:rsidRDefault="0067210B" w:rsidP="00D94216">
            <w:pPr>
              <w:pStyle w:val="Table1"/>
            </w:pPr>
            <w:r w:rsidRPr="00625D73">
              <w:t>Residual Resistance Ratio RRR</w:t>
            </w:r>
          </w:p>
        </w:tc>
        <w:tc>
          <w:tcPr>
            <w:tcW w:w="4896" w:type="dxa"/>
            <w:shd w:val="clear" w:color="auto" w:fill="auto"/>
            <w:noWrap/>
            <w:vAlign w:val="center"/>
          </w:tcPr>
          <w:p w14:paraId="58623F05" w14:textId="77777777" w:rsidR="0067210B" w:rsidRPr="00625D73" w:rsidRDefault="0067210B" w:rsidP="00D94216">
            <w:pPr>
              <w:pStyle w:val="Table1"/>
            </w:pPr>
            <w:r>
              <w:t xml:space="preserve">1 per billet </w:t>
            </w:r>
          </w:p>
        </w:tc>
      </w:tr>
    </w:tbl>
    <w:p w14:paraId="65FF61D6" w14:textId="77777777" w:rsidR="0067210B" w:rsidRDefault="0067210B" w:rsidP="0067210B"/>
    <w:p w14:paraId="11592A3C" w14:textId="77777777" w:rsidR="0067210B" w:rsidRDefault="0067210B" w:rsidP="0067210B">
      <w:pPr>
        <w:pStyle w:val="Heading2"/>
      </w:pPr>
      <w:bookmarkStart w:id="119" w:name="_Ref456780021"/>
      <w:r>
        <w:t>Additional testing for billets with more than 2 pieces</w:t>
      </w:r>
      <w:bookmarkEnd w:id="119"/>
    </w:p>
    <w:p w14:paraId="24B5EAF5" w14:textId="77777777" w:rsidR="0067210B" w:rsidRDefault="0067210B" w:rsidP="0067210B">
      <w:r>
        <w:t xml:space="preserve">Supplier shall provide the additional verification tests below for internal pieces of billets that have 3 or more pieces for delivery. </w:t>
      </w:r>
    </w:p>
    <w:tbl>
      <w:tblPr>
        <w:tblW w:w="8640"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000" w:firstRow="0" w:lastRow="0" w:firstColumn="0" w:lastColumn="0" w:noHBand="0" w:noVBand="0"/>
      </w:tblPr>
      <w:tblGrid>
        <w:gridCol w:w="3744"/>
        <w:gridCol w:w="4896"/>
      </w:tblGrid>
      <w:tr w:rsidR="0067210B" w:rsidRPr="00625D73" w14:paraId="1064E59D" w14:textId="77777777" w:rsidTr="00D94216">
        <w:trPr>
          <w:trHeight w:val="359"/>
          <w:jc w:val="center"/>
        </w:trPr>
        <w:tc>
          <w:tcPr>
            <w:tcW w:w="3744" w:type="dxa"/>
            <w:tcBorders>
              <w:top w:val="single" w:sz="8" w:space="0" w:color="auto"/>
              <w:bottom w:val="double" w:sz="4" w:space="0" w:color="auto"/>
            </w:tcBorders>
            <w:shd w:val="clear" w:color="auto" w:fill="auto"/>
            <w:noWrap/>
            <w:vAlign w:val="bottom"/>
          </w:tcPr>
          <w:p w14:paraId="72038474" w14:textId="77777777" w:rsidR="0067210B" w:rsidRPr="00A03078" w:rsidRDefault="0067210B" w:rsidP="00D94216">
            <w:pPr>
              <w:pStyle w:val="Table1"/>
            </w:pPr>
            <w:r w:rsidRPr="00A03078">
              <w:t>Parameter or characteristic</w:t>
            </w:r>
          </w:p>
        </w:tc>
        <w:tc>
          <w:tcPr>
            <w:tcW w:w="4896" w:type="dxa"/>
            <w:tcBorders>
              <w:top w:val="single" w:sz="8" w:space="0" w:color="auto"/>
              <w:bottom w:val="double" w:sz="4" w:space="0" w:color="auto"/>
            </w:tcBorders>
            <w:shd w:val="clear" w:color="auto" w:fill="auto"/>
            <w:noWrap/>
            <w:vAlign w:val="bottom"/>
          </w:tcPr>
          <w:p w14:paraId="0BFD52FA" w14:textId="77777777" w:rsidR="0067210B" w:rsidRPr="00A03078" w:rsidRDefault="0067210B" w:rsidP="00D94216">
            <w:pPr>
              <w:pStyle w:val="Table1"/>
            </w:pPr>
            <w:r>
              <w:t>Testing rate</w:t>
            </w:r>
          </w:p>
        </w:tc>
      </w:tr>
      <w:tr w:rsidR="0067210B" w:rsidRPr="00625D73" w14:paraId="6B37F957" w14:textId="77777777" w:rsidTr="00D94216">
        <w:trPr>
          <w:trHeight w:val="427"/>
          <w:jc w:val="center"/>
        </w:trPr>
        <w:tc>
          <w:tcPr>
            <w:tcW w:w="3744" w:type="dxa"/>
            <w:shd w:val="clear" w:color="auto" w:fill="auto"/>
            <w:noWrap/>
            <w:vAlign w:val="center"/>
          </w:tcPr>
          <w:p w14:paraId="09C972A2" w14:textId="77777777" w:rsidR="0067210B" w:rsidRPr="00625D73" w:rsidRDefault="0067210B" w:rsidP="00D94216">
            <w:pPr>
              <w:pStyle w:val="Table1"/>
            </w:pPr>
            <w:r w:rsidRPr="00625D73">
              <w:t>Critical current</w:t>
            </w:r>
          </w:p>
        </w:tc>
        <w:tc>
          <w:tcPr>
            <w:tcW w:w="4896" w:type="dxa"/>
            <w:shd w:val="clear" w:color="auto" w:fill="auto"/>
            <w:noWrap/>
            <w:vAlign w:val="center"/>
          </w:tcPr>
          <w:p w14:paraId="103F65FB" w14:textId="7F9C3F4B" w:rsidR="0067210B" w:rsidRPr="00625D73" w:rsidRDefault="0067210B" w:rsidP="00D94216">
            <w:pPr>
              <w:pStyle w:val="Table1"/>
            </w:pPr>
            <w:r>
              <w:t xml:space="preserve">If </w:t>
            </w:r>
            <w:r>
              <w:rPr>
                <w:i/>
              </w:rPr>
              <w:t>I</w:t>
            </w:r>
            <w:r w:rsidR="001026E8" w:rsidRPr="001026E8">
              <w:rPr>
                <w:iCs/>
                <w:vertAlign w:val="subscript"/>
              </w:rPr>
              <w:t>C</w:t>
            </w:r>
            <w:r>
              <w:t xml:space="preserve"> (1</w:t>
            </w:r>
            <w:r w:rsidR="001026E8">
              <w:t>6</w:t>
            </w:r>
            <w:r>
              <w:t xml:space="preserve"> T, 4.2 K) </w:t>
            </w:r>
            <w:r>
              <w:rPr>
                <w:rFonts w:ascii="Times New Roman" w:hAnsi="Times New Roman"/>
              </w:rPr>
              <w:t>≥</w:t>
            </w:r>
            <w:r>
              <w:t xml:space="preserve"> </w:t>
            </w:r>
            <w:r w:rsidR="003A2EA0">
              <w:t>62</w:t>
            </w:r>
            <w:r w:rsidR="001026E8">
              <w:t>5</w:t>
            </w:r>
            <w:r>
              <w:t xml:space="preserve"> A and RRR </w:t>
            </w:r>
            <w:r>
              <w:rPr>
                <w:rFonts w:ascii="Times New Roman" w:hAnsi="Times New Roman"/>
              </w:rPr>
              <w:t>≥</w:t>
            </w:r>
            <w:r>
              <w:t xml:space="preserve"> 2</w:t>
            </w:r>
            <w:r w:rsidR="003A2EA0">
              <w:t>0</w:t>
            </w:r>
            <w:r>
              <w:t xml:space="preserve">0 for both tests under </w:t>
            </w:r>
            <w:r>
              <w:fldChar w:fldCharType="begin"/>
            </w:r>
            <w:r>
              <w:instrText xml:space="preserve"> REF _Ref482018574 \r \h </w:instrText>
            </w:r>
            <w:r>
              <w:fldChar w:fldCharType="separate"/>
            </w:r>
            <w:r w:rsidR="00C75BD8">
              <w:t>9.3.2</w:t>
            </w:r>
            <w:r>
              <w:fldChar w:fldCharType="end"/>
            </w:r>
            <w:r>
              <w:t>, then one additional test should be performed on the piece immediately after the first break or cut location. Otherwise, all pieces for delivery should receive tests.</w:t>
            </w:r>
          </w:p>
        </w:tc>
      </w:tr>
      <w:tr w:rsidR="0067210B" w:rsidRPr="00625D73" w14:paraId="0BC86545" w14:textId="77777777" w:rsidTr="00D94216">
        <w:trPr>
          <w:trHeight w:val="427"/>
          <w:jc w:val="center"/>
        </w:trPr>
        <w:tc>
          <w:tcPr>
            <w:tcW w:w="3744" w:type="dxa"/>
            <w:shd w:val="clear" w:color="auto" w:fill="auto"/>
            <w:noWrap/>
            <w:vAlign w:val="center"/>
          </w:tcPr>
          <w:p w14:paraId="5D65706C" w14:textId="77777777" w:rsidR="0067210B" w:rsidRPr="00625D73" w:rsidRDefault="0067210B" w:rsidP="00D94216">
            <w:pPr>
              <w:pStyle w:val="Table1"/>
            </w:pPr>
            <w:r w:rsidRPr="00625D73">
              <w:rPr>
                <w:i/>
              </w:rPr>
              <w:t>n</w:t>
            </w:r>
            <w:r w:rsidRPr="00625D73">
              <w:t xml:space="preserve">-value </w:t>
            </w:r>
          </w:p>
        </w:tc>
        <w:tc>
          <w:tcPr>
            <w:tcW w:w="4896" w:type="dxa"/>
            <w:shd w:val="clear" w:color="auto" w:fill="auto"/>
            <w:noWrap/>
            <w:vAlign w:val="center"/>
          </w:tcPr>
          <w:p w14:paraId="1796B5C8" w14:textId="77777777" w:rsidR="0067210B" w:rsidRPr="00625D73" w:rsidRDefault="0067210B" w:rsidP="00D94216">
            <w:pPr>
              <w:pStyle w:val="Table1"/>
            </w:pPr>
            <w:r>
              <w:t>(with tests above)</w:t>
            </w:r>
          </w:p>
        </w:tc>
      </w:tr>
      <w:tr w:rsidR="0067210B" w:rsidRPr="00625D73" w14:paraId="571307F9" w14:textId="77777777" w:rsidTr="00D94216">
        <w:trPr>
          <w:trHeight w:val="359"/>
          <w:jc w:val="center"/>
        </w:trPr>
        <w:tc>
          <w:tcPr>
            <w:tcW w:w="3744" w:type="dxa"/>
            <w:shd w:val="clear" w:color="auto" w:fill="auto"/>
            <w:noWrap/>
            <w:vAlign w:val="center"/>
          </w:tcPr>
          <w:p w14:paraId="21E1B09B" w14:textId="77777777" w:rsidR="0067210B" w:rsidRPr="00625D73" w:rsidRDefault="0067210B" w:rsidP="00D94216">
            <w:pPr>
              <w:pStyle w:val="Table1"/>
            </w:pPr>
            <w:r w:rsidRPr="00625D73">
              <w:t>Residual Resistance Ratio RRR</w:t>
            </w:r>
          </w:p>
        </w:tc>
        <w:tc>
          <w:tcPr>
            <w:tcW w:w="4896" w:type="dxa"/>
            <w:shd w:val="clear" w:color="auto" w:fill="auto"/>
            <w:noWrap/>
            <w:vAlign w:val="center"/>
          </w:tcPr>
          <w:p w14:paraId="6A40E80C" w14:textId="02535612" w:rsidR="0067210B" w:rsidRPr="00625D73" w:rsidRDefault="0067210B" w:rsidP="00D94216">
            <w:pPr>
              <w:pStyle w:val="Table1"/>
            </w:pPr>
            <w:r>
              <w:t xml:space="preserve">If </w:t>
            </w:r>
            <w:proofErr w:type="spellStart"/>
            <w:r>
              <w:rPr>
                <w:i/>
              </w:rPr>
              <w:t>I</w:t>
            </w:r>
            <w:r>
              <w:rPr>
                <w:i/>
                <w:vertAlign w:val="subscript"/>
              </w:rPr>
              <w:t>c</w:t>
            </w:r>
            <w:proofErr w:type="spellEnd"/>
            <w:r>
              <w:t xml:space="preserve"> (1</w:t>
            </w:r>
            <w:r w:rsidR="001026E8">
              <w:t>6</w:t>
            </w:r>
            <w:r>
              <w:t xml:space="preserve"> T, 4.2 K) </w:t>
            </w:r>
            <w:r>
              <w:rPr>
                <w:rFonts w:ascii="Times New Roman" w:hAnsi="Times New Roman"/>
              </w:rPr>
              <w:t>≥</w:t>
            </w:r>
            <w:r>
              <w:t xml:space="preserve"> </w:t>
            </w:r>
            <w:r w:rsidR="003A2EA0">
              <w:t>62</w:t>
            </w:r>
            <w:r w:rsidR="001026E8">
              <w:t>5</w:t>
            </w:r>
            <w:r>
              <w:t xml:space="preserve"> A and RRR </w:t>
            </w:r>
            <w:r>
              <w:rPr>
                <w:rFonts w:ascii="Times New Roman" w:hAnsi="Times New Roman"/>
              </w:rPr>
              <w:t>≥</w:t>
            </w:r>
            <w:r>
              <w:t xml:space="preserve"> 2</w:t>
            </w:r>
            <w:r w:rsidR="003A2EA0">
              <w:t>0</w:t>
            </w:r>
            <w:r>
              <w:t xml:space="preserve">0 for both tests under </w:t>
            </w:r>
            <w:r>
              <w:fldChar w:fldCharType="begin"/>
            </w:r>
            <w:r>
              <w:instrText xml:space="preserve"> REF _Ref482018574 \r \h </w:instrText>
            </w:r>
            <w:r>
              <w:fldChar w:fldCharType="separate"/>
            </w:r>
            <w:r w:rsidR="00C75BD8">
              <w:t>9.3.2</w:t>
            </w:r>
            <w:r>
              <w:fldChar w:fldCharType="end"/>
            </w:r>
            <w:r>
              <w:t>, then one additional test should be performed on the piece immediately after the first break or cut location. Otherwise, all pieces for delivery should receive tests.</w:t>
            </w:r>
          </w:p>
        </w:tc>
      </w:tr>
    </w:tbl>
    <w:p w14:paraId="1025BFB7" w14:textId="77777777" w:rsidR="0067210B" w:rsidRDefault="0067210B" w:rsidP="0067210B">
      <w:pPr>
        <w:pStyle w:val="Heading1"/>
      </w:pPr>
      <w:bookmarkStart w:id="120" w:name="_Toc456780814"/>
      <w:r>
        <w:t>IDENTIFICATION REQUIREMENTS</w:t>
      </w:r>
      <w:bookmarkEnd w:id="120"/>
    </w:p>
    <w:p w14:paraId="1338844F" w14:textId="23E6F443" w:rsidR="0067210B" w:rsidRDefault="0067210B" w:rsidP="0067210B">
      <w:r>
        <w:t xml:space="preserve">All delivered conductor pieces shall comply with </w:t>
      </w:r>
      <w:r>
        <w:fldChar w:fldCharType="begin"/>
      </w:r>
      <w:r>
        <w:instrText xml:space="preserve"> REF _Ref414633400 \h </w:instrText>
      </w:r>
      <w:r>
        <w:fldChar w:fldCharType="separate"/>
      </w:r>
      <w:r w:rsidR="00C75BD8">
        <w:rPr>
          <w:i/>
        </w:rPr>
        <w:t xml:space="preserve">TFD </w:t>
      </w:r>
      <w:r w:rsidR="00C75BD8" w:rsidRPr="00F41982">
        <w:rPr>
          <w:i/>
        </w:rPr>
        <w:t>Material Naming Scheme</w:t>
      </w:r>
      <w:r>
        <w:fldChar w:fldCharType="end"/>
      </w:r>
      <w:r>
        <w:t>..  In addition, all pieces kept at the supplier for validation shall be labeled according to the same scheme to facilitate cross-referencing.</w:t>
      </w:r>
    </w:p>
    <w:p w14:paraId="7A388058" w14:textId="4F05D8CD" w:rsidR="0067210B" w:rsidRDefault="0067210B" w:rsidP="0067210B">
      <w:r>
        <w:t>Supplier shall notice that the scheme for a piece contains the billet number and an identifier of the piece(s) that result from wire drawing.  If the billet number does not conform to the naming scheme, supplier and purchaser shall determine a number to comply with the 14-character scheme.</w:t>
      </w:r>
    </w:p>
    <w:p w14:paraId="64A0B244" w14:textId="77777777" w:rsidR="0067210B" w:rsidRPr="00685072" w:rsidRDefault="0067210B" w:rsidP="0067210B">
      <w:r>
        <w:t>Supplier shall notice that samples used for verification of properties receive additional identification under the naming scheme.</w:t>
      </w:r>
    </w:p>
    <w:p w14:paraId="03E3D61D" w14:textId="77777777" w:rsidR="0067210B" w:rsidRPr="001D7380" w:rsidRDefault="0067210B" w:rsidP="0067210B">
      <w:pPr>
        <w:pStyle w:val="Heading1"/>
      </w:pPr>
      <w:bookmarkStart w:id="121" w:name="_Toc410209130"/>
      <w:bookmarkStart w:id="122" w:name="_Toc456780815"/>
      <w:r>
        <w:t>DOCUMENTATION</w:t>
      </w:r>
      <w:bookmarkEnd w:id="121"/>
      <w:r>
        <w:t xml:space="preserve"> AND DELIVERY REQUIREMENTS</w:t>
      </w:r>
      <w:bookmarkEnd w:id="122"/>
    </w:p>
    <w:p w14:paraId="5699D03B" w14:textId="77777777" w:rsidR="0067210B" w:rsidRDefault="0067210B" w:rsidP="0067210B">
      <w:r>
        <w:t>Supplier shall note that this specification is part of a larger acquisition plan, which compels all suppliers to provide certain information as part of their offer.  The information includes a management plan, a quality assurance plan, a manufacturing plan, and evidence of qualification.  The details of the acquisition plan are not discussed here.</w:t>
      </w:r>
    </w:p>
    <w:p w14:paraId="65D63C07" w14:textId="23A0F750" w:rsidR="0067210B" w:rsidRDefault="0067210B" w:rsidP="0067210B">
      <w:r>
        <w:t>Supplier shall disclose the design of the conductor</w:t>
      </w:r>
      <w:r w:rsidR="00620251">
        <w:t xml:space="preserve"> (including a list of critical raw material properties)</w:t>
      </w:r>
      <w:r>
        <w:t xml:space="preserve"> </w:t>
      </w:r>
      <w:r w:rsidR="00620251">
        <w:t xml:space="preserve">and a list of the significant subcontractors </w:t>
      </w:r>
      <w:r>
        <w:t xml:space="preserve">in a Disclosure Statement. </w:t>
      </w:r>
    </w:p>
    <w:p w14:paraId="66C9B527" w14:textId="4E8EFC43" w:rsidR="0067210B" w:rsidRPr="001D7380" w:rsidRDefault="0067210B" w:rsidP="0067210B">
      <w:r>
        <w:lastRenderedPageBreak/>
        <w:t xml:space="preserve">All test results shall be supplied in a format mutually agreed by </w:t>
      </w:r>
      <w:r w:rsidR="00620251">
        <w:t xml:space="preserve">the </w:t>
      </w:r>
      <w:r>
        <w:t xml:space="preserve">supplier and </w:t>
      </w:r>
      <w:r w:rsidR="001026E8">
        <w:t>LBNL</w:t>
      </w:r>
      <w:r>
        <w:t>. Raw data, certificates of materials, processing records, and similar information related to the production of strand shall be made available after a reasonable period upon request by</w:t>
      </w:r>
      <w:r w:rsidR="001026E8">
        <w:t xml:space="preserve"> LBNL</w:t>
      </w:r>
      <w:r>
        <w:t xml:space="preserve">. </w:t>
      </w:r>
      <w:bookmarkStart w:id="123" w:name="_Ref410037582"/>
    </w:p>
    <w:p w14:paraId="6337867D" w14:textId="77777777" w:rsidR="0067210B" w:rsidRDefault="0067210B" w:rsidP="0067210B">
      <w:pPr>
        <w:pStyle w:val="Heading2"/>
      </w:pPr>
      <w:r>
        <w:t>Documents required for Request for Delivery Approval</w:t>
      </w:r>
    </w:p>
    <w:p w14:paraId="642F43C6" w14:textId="77777777" w:rsidR="0067210B" w:rsidRDefault="0067210B" w:rsidP="0067210B">
      <w:r>
        <w:t xml:space="preserve">Supplier shall </w:t>
      </w:r>
      <w:r>
        <w:rPr>
          <w:i/>
        </w:rPr>
        <w:t>not</w:t>
      </w:r>
      <w:r>
        <w:t xml:space="preserve"> deliver any product without authorization or approval from the purchaser.  Supplier shall schedule deliveries based on billet number or production lot number.</w:t>
      </w:r>
    </w:p>
    <w:p w14:paraId="0447DF05" w14:textId="77777777" w:rsidR="0067210B" w:rsidRDefault="0067210B" w:rsidP="0067210B">
      <w:r>
        <w:t>Prior to the shipment of a product for delivery, the supplier shall notify the purchaser in writing of intent to ship.  The notification shall include the following information:</w:t>
      </w:r>
    </w:p>
    <w:p w14:paraId="54437F5C" w14:textId="39E35AC4" w:rsidR="0067210B" w:rsidRDefault="0067210B" w:rsidP="0067210B">
      <w:pPr>
        <w:pStyle w:val="ListParagraph"/>
      </w:pPr>
      <w:bookmarkStart w:id="124" w:name="_Toc410209144"/>
      <w:r>
        <w:t xml:space="preserve">The billet </w:t>
      </w:r>
      <w:bookmarkEnd w:id="124"/>
      <w:r w:rsidR="003A2EA0">
        <w:t>pedigree and piece</w:t>
      </w:r>
      <w:r>
        <w:t xml:space="preserve"> report;</w:t>
      </w:r>
    </w:p>
    <w:p w14:paraId="3C79BD45" w14:textId="77777777" w:rsidR="0067210B" w:rsidRDefault="0067210B" w:rsidP="0067210B">
      <w:pPr>
        <w:pStyle w:val="ListParagraph"/>
      </w:pPr>
      <w:bookmarkStart w:id="125" w:name="_Toc410209145"/>
      <w:r>
        <w:t>Certificate of conformity to specification for each billet;</w:t>
      </w:r>
      <w:bookmarkEnd w:id="125"/>
    </w:p>
    <w:p w14:paraId="255ED988" w14:textId="77777777" w:rsidR="0067210B" w:rsidRDefault="0067210B" w:rsidP="0067210B">
      <w:pPr>
        <w:pStyle w:val="ListParagraph"/>
      </w:pPr>
      <w:bookmarkStart w:id="126" w:name="_Toc410209146"/>
      <w:r>
        <w:t>Raw materials certifications;</w:t>
      </w:r>
      <w:bookmarkEnd w:id="126"/>
    </w:p>
    <w:p w14:paraId="42CC0B9A" w14:textId="77777777" w:rsidR="0067210B" w:rsidRDefault="0067210B" w:rsidP="0067210B">
      <w:pPr>
        <w:pStyle w:val="ListParagraph"/>
      </w:pPr>
      <w:bookmarkStart w:id="127" w:name="_Toc410209147"/>
      <w:r>
        <w:t>Test results and test reports, using the standards or test methods specified herein.</w:t>
      </w:r>
      <w:bookmarkEnd w:id="127"/>
    </w:p>
    <w:bookmarkEnd w:id="123"/>
    <w:p w14:paraId="28E5DA94" w14:textId="77777777" w:rsidR="0067210B" w:rsidRDefault="0067210B" w:rsidP="0067210B">
      <w:r>
        <w:t>In addition, the supplier shall be prepared to transmit the raw data from tests, micrographs or microscopy analyses, or other raw information related to the purchaser’s database.  Purchaser may request this data in conjunction with the strand delivery, or as a follow-up, as deemed appropriate.</w:t>
      </w:r>
    </w:p>
    <w:p w14:paraId="14FF2C1F" w14:textId="77777777" w:rsidR="0067210B" w:rsidRDefault="0067210B" w:rsidP="0067210B">
      <w:pPr>
        <w:pStyle w:val="Heading2"/>
      </w:pPr>
      <w:r>
        <w:t>Authorization to Deliver</w:t>
      </w:r>
    </w:p>
    <w:p w14:paraId="1C4C5843" w14:textId="3F0D3A58" w:rsidR="0067210B" w:rsidRDefault="0067210B" w:rsidP="0067210B">
      <w:r>
        <w:t xml:space="preserve">The purchaser will compare the supplier’s information with information obtained from </w:t>
      </w:r>
      <w:r w:rsidR="001026E8">
        <w:t xml:space="preserve">benchmarking </w:t>
      </w:r>
      <w:r>
        <w:t>validation</w:t>
      </w:r>
      <w:r w:rsidR="001026E8">
        <w:t xml:space="preserve"> exercises</w:t>
      </w:r>
      <w:r>
        <w:t>.  Any discrepancies will be resolved to the satisfaction of the purchaser on a case-by-case basis.  Purchaser may choose to waive some or all product validation tests associated with a particular billet.</w:t>
      </w:r>
    </w:p>
    <w:p w14:paraId="37E2C241" w14:textId="77777777" w:rsidR="0067210B" w:rsidRPr="001D7380" w:rsidRDefault="0067210B" w:rsidP="0067210B">
      <w:r>
        <w:t xml:space="preserve">Purchaser shall issue a written authorization to deliver as an indication of product acceptance.  </w:t>
      </w:r>
    </w:p>
    <w:p w14:paraId="11430F22" w14:textId="77777777" w:rsidR="0067210B" w:rsidRPr="001D7380" w:rsidRDefault="0067210B" w:rsidP="0067210B">
      <w:pPr>
        <w:pStyle w:val="Heading2"/>
      </w:pPr>
      <w:bookmarkStart w:id="128" w:name="_Ref404774589"/>
      <w:bookmarkStart w:id="129" w:name="_Ref410143597"/>
      <w:bookmarkStart w:id="130" w:name="_Toc410209149"/>
      <w:r w:rsidRPr="001D7380">
        <w:t>Shipping Instructions</w:t>
      </w:r>
      <w:bookmarkEnd w:id="128"/>
      <w:r>
        <w:t xml:space="preserve"> for Long Pieces</w:t>
      </w:r>
      <w:bookmarkEnd w:id="129"/>
      <w:bookmarkEnd w:id="130"/>
    </w:p>
    <w:p w14:paraId="54A844D2" w14:textId="77777777" w:rsidR="0067210B" w:rsidRDefault="0067210B" w:rsidP="00900154">
      <w:pPr>
        <w:pStyle w:val="Heading3"/>
      </w:pPr>
      <w:r>
        <w:t xml:space="preserve">Long </w:t>
      </w:r>
      <w:r w:rsidRPr="001D7380">
        <w:t xml:space="preserve">strand </w:t>
      </w:r>
      <w:r>
        <w:t xml:space="preserve">pieces </w:t>
      </w:r>
      <w:r w:rsidRPr="001D7380">
        <w:t>shall be shipped on spools</w:t>
      </w:r>
      <w:r>
        <w:t>.  E</w:t>
      </w:r>
      <w:r w:rsidRPr="001D7380">
        <w:t xml:space="preserve">ach spool shall contain only one piece of strand.  </w:t>
      </w:r>
      <w:r>
        <w:t>No preference is given to the spool axis.</w:t>
      </w:r>
    </w:p>
    <w:p w14:paraId="56651257" w14:textId="77777777" w:rsidR="0067210B" w:rsidRPr="001D7380" w:rsidRDefault="0067210B" w:rsidP="00900154">
      <w:pPr>
        <w:pStyle w:val="Heading3"/>
      </w:pPr>
      <w:r w:rsidRPr="001D7380">
        <w:t>The spools shall be labeled with:</w:t>
      </w:r>
    </w:p>
    <w:p w14:paraId="7E7D7C94" w14:textId="77777777" w:rsidR="0067210B" w:rsidRDefault="0067210B" w:rsidP="0067210B">
      <w:pPr>
        <w:pStyle w:val="ListParagraph"/>
      </w:pPr>
      <w:bookmarkStart w:id="131" w:name="_Toc410209150"/>
      <w:r>
        <w:t>Date of shipment,</w:t>
      </w:r>
      <w:bookmarkEnd w:id="131"/>
    </w:p>
    <w:p w14:paraId="2F2125F7" w14:textId="39DCB455" w:rsidR="0067210B" w:rsidRPr="001D7380" w:rsidRDefault="0067210B" w:rsidP="0067210B">
      <w:pPr>
        <w:pStyle w:val="ListParagraph"/>
      </w:pPr>
      <w:bookmarkStart w:id="132" w:name="_Toc410209151"/>
      <w:r>
        <w:t>T</w:t>
      </w:r>
      <w:r w:rsidRPr="001D7380">
        <w:t>he Purchase Order Number</w:t>
      </w:r>
      <w:r w:rsidR="003A2EA0">
        <w:t xml:space="preserve"> (with Shipment identifier where appropriate)</w:t>
      </w:r>
      <w:r w:rsidRPr="001D7380">
        <w:t>,</w:t>
      </w:r>
      <w:bookmarkEnd w:id="132"/>
      <w:r w:rsidRPr="001D7380">
        <w:t xml:space="preserve"> </w:t>
      </w:r>
    </w:p>
    <w:p w14:paraId="25BA334C" w14:textId="77777777" w:rsidR="0067210B" w:rsidRDefault="0067210B" w:rsidP="0067210B">
      <w:pPr>
        <w:pStyle w:val="ListParagraph"/>
      </w:pPr>
      <w:bookmarkStart w:id="133" w:name="_Toc410209152"/>
      <w:r>
        <w:t>The Billet number and the Production Lot identifier (if any);</w:t>
      </w:r>
      <w:bookmarkEnd w:id="133"/>
    </w:p>
    <w:p w14:paraId="734EB7C8" w14:textId="0258B267" w:rsidR="0067210B" w:rsidRDefault="0067210B" w:rsidP="0067210B">
      <w:pPr>
        <w:pStyle w:val="ListParagraph"/>
      </w:pPr>
      <w:bookmarkStart w:id="134" w:name="_Toc410209154"/>
      <w:r>
        <w:t>The 14-character virgin strand identifier</w:t>
      </w:r>
      <w:r w:rsidR="001026E8">
        <w:t xml:space="preserve"> in characters and in code-39 barcode</w:t>
      </w:r>
      <w:r>
        <w:t xml:space="preserve"> (see </w:t>
      </w:r>
      <w:r>
        <w:fldChar w:fldCharType="begin"/>
      </w:r>
      <w:r>
        <w:instrText xml:space="preserve"> REF _Ref414633400 \h </w:instrText>
      </w:r>
      <w:r>
        <w:fldChar w:fldCharType="separate"/>
      </w:r>
      <w:r w:rsidR="00C75BD8">
        <w:rPr>
          <w:i/>
        </w:rPr>
        <w:t xml:space="preserve">TFD </w:t>
      </w:r>
      <w:r w:rsidR="00C75BD8" w:rsidRPr="00F41982">
        <w:rPr>
          <w:i/>
        </w:rPr>
        <w:t>Material Naming Scheme</w:t>
      </w:r>
      <w:r>
        <w:fldChar w:fldCharType="end"/>
      </w:r>
      <w:proofErr w:type="gramStart"/>
      <w:r>
        <w:t>);</w:t>
      </w:r>
      <w:proofErr w:type="gramEnd"/>
    </w:p>
    <w:p w14:paraId="2DED774F" w14:textId="77777777" w:rsidR="0067210B" w:rsidRPr="001D7380" w:rsidRDefault="0067210B" w:rsidP="0067210B">
      <w:pPr>
        <w:pStyle w:val="ListParagraph"/>
      </w:pPr>
      <w:r>
        <w:t>The length of the piece;</w:t>
      </w:r>
      <w:bookmarkEnd w:id="134"/>
    </w:p>
    <w:p w14:paraId="0A06CAB9" w14:textId="77777777" w:rsidR="0067210B" w:rsidRDefault="0067210B" w:rsidP="0067210B">
      <w:pPr>
        <w:pStyle w:val="ListParagraph"/>
      </w:pPr>
      <w:bookmarkStart w:id="135" w:name="_Toc410209155"/>
      <w:r>
        <w:t>T</w:t>
      </w:r>
      <w:r w:rsidRPr="001D7380">
        <w:t>he spool net and tare weights</w:t>
      </w:r>
      <w:r>
        <w:t>;</w:t>
      </w:r>
      <w:bookmarkEnd w:id="135"/>
    </w:p>
    <w:p w14:paraId="12A5321E" w14:textId="77777777" w:rsidR="0067210B" w:rsidRDefault="0067210B" w:rsidP="0067210B">
      <w:pPr>
        <w:pStyle w:val="ListParagraph"/>
      </w:pPr>
      <w:bookmarkStart w:id="136" w:name="_Toc410209156"/>
      <w:r>
        <w:t>T</w:t>
      </w:r>
      <w:r w:rsidRPr="001D7380">
        <w:t xml:space="preserve">he </w:t>
      </w:r>
      <w:r>
        <w:t>direction of wire drawing relative to the end</w:t>
      </w:r>
      <w:r w:rsidRPr="001D7380">
        <w:t>.</w:t>
      </w:r>
      <w:bookmarkEnd w:id="136"/>
      <w:r w:rsidRPr="001D7380">
        <w:t xml:space="preserve"> </w:t>
      </w:r>
    </w:p>
    <w:p w14:paraId="67CEA4BD" w14:textId="30587EE8" w:rsidR="0067210B" w:rsidRPr="001D7380" w:rsidRDefault="0067210B" w:rsidP="001026E8">
      <w:r>
        <w:t>Supplier shall affix this information directly to the outside of the spool.</w:t>
      </w:r>
    </w:p>
    <w:p w14:paraId="7D92E2BD" w14:textId="77777777" w:rsidR="0067210B" w:rsidRDefault="0067210B" w:rsidP="00900154">
      <w:pPr>
        <w:pStyle w:val="Heading3"/>
      </w:pPr>
      <w:r>
        <w:t>Packaging</w:t>
      </w:r>
    </w:p>
    <w:p w14:paraId="07116513" w14:textId="77777777" w:rsidR="0067210B" w:rsidRDefault="0067210B" w:rsidP="0067210B">
      <w:r>
        <w:t>The outside end shall be secured to the spool, such as by wrapping with a plastic shrink wrap.</w:t>
      </w:r>
    </w:p>
    <w:p w14:paraId="415F397B" w14:textId="6ADD712A" w:rsidR="0067210B" w:rsidRPr="001D7380" w:rsidRDefault="0067210B" w:rsidP="0067210B">
      <w:r w:rsidRPr="001D7380">
        <w:t>If the spool is packaged in a cardboard box, an additional copy of the spool label should be affixed to the outside of the box</w:t>
      </w:r>
      <w:r w:rsidR="001026E8">
        <w:t xml:space="preserve"> and the spool must be protected against water and handling</w:t>
      </w:r>
      <w:r w:rsidRPr="001D7380">
        <w:t xml:space="preserve">. The strand shall be shipped in the un-reacted condition, </w:t>
      </w:r>
      <w:r>
        <w:t>preferably</w:t>
      </w:r>
      <w:r w:rsidRPr="001D7380">
        <w:t xml:space="preserve"> in sturdy wooden </w:t>
      </w:r>
      <w:r w:rsidR="001026E8">
        <w:t>crates</w:t>
      </w:r>
      <w:r>
        <w:t>.  C</w:t>
      </w:r>
      <w:r w:rsidRPr="001D7380">
        <w:t xml:space="preserve">ardboard boxes </w:t>
      </w:r>
      <w:r w:rsidRPr="001D7380">
        <w:lastRenderedPageBreak/>
        <w:t xml:space="preserve">can be shipped securely on a wooden pallet </w:t>
      </w:r>
      <w:r>
        <w:t xml:space="preserve">provided that the dimensions of the pallet </w:t>
      </w:r>
      <w:r w:rsidRPr="001D7380">
        <w:t xml:space="preserve">prevent shipping damage.  </w:t>
      </w:r>
    </w:p>
    <w:p w14:paraId="7D2D0AA2" w14:textId="77777777" w:rsidR="0067210B" w:rsidRDefault="0067210B" w:rsidP="0067210B">
      <w:pPr>
        <w:pStyle w:val="Heading2"/>
      </w:pPr>
      <w:bookmarkStart w:id="137" w:name="_Toc410209157"/>
      <w:r>
        <w:t>Shipping Instructions for Verification Pieces</w:t>
      </w:r>
      <w:bookmarkEnd w:id="137"/>
    </w:p>
    <w:p w14:paraId="43FDD8B8" w14:textId="4F021351" w:rsidR="0067210B" w:rsidRDefault="0067210B" w:rsidP="0067210B">
      <w:r>
        <w:t xml:space="preserve">Pieces supplied to the purchaser </w:t>
      </w:r>
      <w:r w:rsidR="00620251">
        <w:t xml:space="preserve">(or its subcontractor) </w:t>
      </w:r>
      <w:r>
        <w:t xml:space="preserve">for validation </w:t>
      </w:r>
      <w:r w:rsidRPr="001D7380">
        <w:t xml:space="preserve">shall be packaged in sealed plastic bags.  Only one </w:t>
      </w:r>
      <w:r>
        <w:t>piece</w:t>
      </w:r>
      <w:r w:rsidRPr="001D7380">
        <w:t xml:space="preserve"> per bag shall be permitted.  </w:t>
      </w:r>
    </w:p>
    <w:p w14:paraId="7C6FEC06" w14:textId="7E2D0538" w:rsidR="0067210B" w:rsidRDefault="0067210B" w:rsidP="0067210B">
      <w:r w:rsidRPr="001D7380">
        <w:t xml:space="preserve">The bag shall be labeled with the </w:t>
      </w:r>
      <w:r>
        <w:t>virgin strand identifier</w:t>
      </w:r>
      <w:r w:rsidR="001026E8">
        <w:t xml:space="preserve"> in characters and in code-39 barcode</w:t>
      </w:r>
      <w:r>
        <w:t>, with the appropriate suffix that identifies a validation piece</w:t>
      </w:r>
      <w:r w:rsidR="003A2EA0">
        <w:t>, as well as the purchase order numbers (with shipment identifier where appropriate)</w:t>
      </w:r>
      <w:r>
        <w:t xml:space="preserve">. </w:t>
      </w:r>
      <w:r w:rsidRPr="001D7380">
        <w:t xml:space="preserve"> </w:t>
      </w:r>
      <w:r>
        <w:t xml:space="preserve">See </w:t>
      </w:r>
      <w:r>
        <w:fldChar w:fldCharType="begin"/>
      </w:r>
      <w:r>
        <w:instrText xml:space="preserve"> REF _Ref414633400 \h </w:instrText>
      </w:r>
      <w:r>
        <w:fldChar w:fldCharType="separate"/>
      </w:r>
      <w:r w:rsidR="00C75BD8">
        <w:rPr>
          <w:i/>
        </w:rPr>
        <w:t xml:space="preserve">TFD </w:t>
      </w:r>
      <w:r w:rsidR="00C75BD8" w:rsidRPr="00F41982">
        <w:rPr>
          <w:i/>
        </w:rPr>
        <w:t>Material Naming Scheme</w:t>
      </w:r>
      <w:r>
        <w:fldChar w:fldCharType="end"/>
      </w:r>
      <w:r w:rsidR="001026E8">
        <w:t>.</w:t>
      </w:r>
    </w:p>
    <w:p w14:paraId="6CBE9292" w14:textId="77777777" w:rsidR="0067210B" w:rsidRDefault="0067210B" w:rsidP="0067210B">
      <w:r>
        <w:t xml:space="preserve">Pieces shall be shipped in the un-reacted state.  </w:t>
      </w:r>
    </w:p>
    <w:p w14:paraId="6609D68F" w14:textId="77777777" w:rsidR="0067210B" w:rsidRDefault="0067210B" w:rsidP="0067210B">
      <w:r>
        <w:t xml:space="preserve">Multiple bags can be shipped together.  </w:t>
      </w:r>
    </w:p>
    <w:p w14:paraId="22791EF7" w14:textId="77777777" w:rsidR="0067210B" w:rsidRDefault="0067210B" w:rsidP="0067210B">
      <w:r>
        <w:t>All shipment shall use protective cartons or boxes.</w:t>
      </w:r>
      <w:r w:rsidRPr="001D7380">
        <w:t xml:space="preserve">  </w:t>
      </w:r>
    </w:p>
    <w:p w14:paraId="1BA5BC9B" w14:textId="77777777" w:rsidR="0067210B" w:rsidRDefault="0067210B" w:rsidP="0067210B">
      <w:pPr>
        <w:spacing w:after="0"/>
        <w:jc w:val="left"/>
      </w:pPr>
      <w:r>
        <w:br w:type="page"/>
      </w:r>
    </w:p>
    <w:p w14:paraId="404135BD" w14:textId="77777777" w:rsidR="0067210B" w:rsidRDefault="0067210B" w:rsidP="0067210B">
      <w:pPr>
        <w:pStyle w:val="Heading1"/>
        <w:numPr>
          <w:ilvl w:val="0"/>
          <w:numId w:val="0"/>
        </w:numPr>
        <w:ind w:left="612"/>
      </w:pPr>
      <w:bookmarkStart w:id="138" w:name="_Toc410209126"/>
      <w:bookmarkStart w:id="139" w:name="_Toc456780816"/>
      <w:r>
        <w:lastRenderedPageBreak/>
        <w:t>ANNEX – SUMMARY OF PERFORMANCE REQUIREMENTS</w:t>
      </w:r>
      <w:bookmarkEnd w:id="138"/>
      <w:bookmarkEnd w:id="139"/>
    </w:p>
    <w:tbl>
      <w:tblPr>
        <w:tblW w:w="7733"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000" w:firstRow="0" w:lastRow="0" w:firstColumn="0" w:lastColumn="0" w:noHBand="0" w:noVBand="0"/>
      </w:tblPr>
      <w:tblGrid>
        <w:gridCol w:w="3818"/>
        <w:gridCol w:w="2475"/>
        <w:gridCol w:w="1440"/>
      </w:tblGrid>
      <w:tr w:rsidR="0067210B" w:rsidRPr="001D7380" w14:paraId="6386ECDE" w14:textId="77777777" w:rsidTr="003A2EA0">
        <w:trPr>
          <w:trHeight w:val="359"/>
          <w:jc w:val="center"/>
        </w:trPr>
        <w:tc>
          <w:tcPr>
            <w:tcW w:w="3818" w:type="dxa"/>
            <w:shd w:val="clear" w:color="auto" w:fill="auto"/>
            <w:noWrap/>
            <w:vAlign w:val="bottom"/>
          </w:tcPr>
          <w:p w14:paraId="20B76CAD" w14:textId="77777777" w:rsidR="0067210B" w:rsidRPr="001D7380" w:rsidRDefault="0067210B" w:rsidP="00D94216">
            <w:pPr>
              <w:pStyle w:val="Table1"/>
              <w:rPr>
                <w:lang w:eastAsia="ja-JP"/>
              </w:rPr>
            </w:pPr>
            <w:r w:rsidRPr="001D7380">
              <w:rPr>
                <w:lang w:eastAsia="ja-JP"/>
              </w:rPr>
              <w:t>Parameter or characteristic</w:t>
            </w:r>
          </w:p>
        </w:tc>
        <w:tc>
          <w:tcPr>
            <w:tcW w:w="2475" w:type="dxa"/>
            <w:shd w:val="clear" w:color="auto" w:fill="auto"/>
            <w:noWrap/>
            <w:vAlign w:val="bottom"/>
          </w:tcPr>
          <w:p w14:paraId="37D0FA98" w14:textId="77777777" w:rsidR="0067210B" w:rsidRPr="001D7380" w:rsidRDefault="0067210B" w:rsidP="00D94216">
            <w:pPr>
              <w:pStyle w:val="Table1"/>
              <w:rPr>
                <w:lang w:eastAsia="ja-JP"/>
              </w:rPr>
            </w:pPr>
            <w:r w:rsidRPr="001D7380">
              <w:rPr>
                <w:lang w:eastAsia="ja-JP"/>
              </w:rPr>
              <w:t>Value</w:t>
            </w:r>
          </w:p>
        </w:tc>
        <w:tc>
          <w:tcPr>
            <w:tcW w:w="1440" w:type="dxa"/>
          </w:tcPr>
          <w:p w14:paraId="672A7993" w14:textId="77777777" w:rsidR="0067210B" w:rsidRPr="001D7380" w:rsidRDefault="0067210B" w:rsidP="00D94216">
            <w:pPr>
              <w:pStyle w:val="Table1"/>
              <w:rPr>
                <w:lang w:eastAsia="ja-JP"/>
              </w:rPr>
            </w:pPr>
            <w:r>
              <w:rPr>
                <w:lang w:eastAsia="ja-JP"/>
              </w:rPr>
              <w:t>Unit</w:t>
            </w:r>
          </w:p>
        </w:tc>
      </w:tr>
      <w:tr w:rsidR="0067210B" w:rsidRPr="001D7380" w14:paraId="2A1A3AC1" w14:textId="77777777" w:rsidTr="003A2EA0">
        <w:trPr>
          <w:trHeight w:val="359"/>
          <w:jc w:val="center"/>
        </w:trPr>
        <w:tc>
          <w:tcPr>
            <w:tcW w:w="3818" w:type="dxa"/>
            <w:shd w:val="clear" w:color="auto" w:fill="auto"/>
            <w:noWrap/>
            <w:vAlign w:val="center"/>
          </w:tcPr>
          <w:p w14:paraId="4A39F323" w14:textId="77777777" w:rsidR="0067210B" w:rsidRPr="001D7380" w:rsidRDefault="0067210B" w:rsidP="00D94216">
            <w:pPr>
              <w:pStyle w:val="Table1"/>
              <w:rPr>
                <w:lang w:eastAsia="ja-JP"/>
              </w:rPr>
            </w:pPr>
            <w:r w:rsidRPr="001D7380">
              <w:rPr>
                <w:lang w:eastAsia="ja-JP"/>
              </w:rPr>
              <w:t>Superconductor composition</w:t>
            </w:r>
          </w:p>
        </w:tc>
        <w:tc>
          <w:tcPr>
            <w:tcW w:w="2475" w:type="dxa"/>
            <w:shd w:val="clear" w:color="auto" w:fill="auto"/>
            <w:noWrap/>
            <w:vAlign w:val="center"/>
          </w:tcPr>
          <w:p w14:paraId="2C317489" w14:textId="77777777" w:rsidR="0067210B" w:rsidRPr="001D7380" w:rsidRDefault="0067210B" w:rsidP="00D94216">
            <w:pPr>
              <w:pStyle w:val="Table1"/>
              <w:rPr>
                <w:lang w:eastAsia="ja-JP"/>
              </w:rPr>
            </w:pPr>
            <w:proofErr w:type="spellStart"/>
            <w:r w:rsidRPr="001D7380">
              <w:rPr>
                <w:lang w:eastAsia="ja-JP"/>
              </w:rPr>
              <w:t>Ti</w:t>
            </w:r>
            <w:proofErr w:type="spellEnd"/>
            <w:r w:rsidRPr="001D7380">
              <w:rPr>
                <w:lang w:eastAsia="ja-JP"/>
              </w:rPr>
              <w:t>-alloyed Nb</w:t>
            </w:r>
            <w:r w:rsidRPr="001D7380">
              <w:rPr>
                <w:vertAlign w:val="subscript"/>
                <w:lang w:eastAsia="ja-JP"/>
              </w:rPr>
              <w:t>3</w:t>
            </w:r>
            <w:r w:rsidRPr="001D7380">
              <w:rPr>
                <w:lang w:eastAsia="ja-JP"/>
              </w:rPr>
              <w:t>Sn</w:t>
            </w:r>
          </w:p>
        </w:tc>
        <w:tc>
          <w:tcPr>
            <w:tcW w:w="1440" w:type="dxa"/>
            <w:vAlign w:val="center"/>
          </w:tcPr>
          <w:p w14:paraId="0050780D" w14:textId="77777777" w:rsidR="0067210B" w:rsidRPr="001D7380" w:rsidRDefault="0067210B" w:rsidP="00D94216">
            <w:pPr>
              <w:pStyle w:val="Table1"/>
              <w:rPr>
                <w:lang w:eastAsia="ja-JP"/>
              </w:rPr>
            </w:pPr>
          </w:p>
        </w:tc>
      </w:tr>
      <w:tr w:rsidR="0067210B" w:rsidRPr="001D7380" w14:paraId="3A90535E" w14:textId="77777777" w:rsidTr="003A2EA0">
        <w:trPr>
          <w:trHeight w:val="359"/>
          <w:jc w:val="center"/>
        </w:trPr>
        <w:tc>
          <w:tcPr>
            <w:tcW w:w="3818" w:type="dxa"/>
            <w:shd w:val="clear" w:color="auto" w:fill="auto"/>
            <w:noWrap/>
            <w:vAlign w:val="center"/>
          </w:tcPr>
          <w:p w14:paraId="4B4CC226" w14:textId="77777777" w:rsidR="0067210B" w:rsidRPr="001D7380" w:rsidRDefault="0067210B" w:rsidP="00D94216">
            <w:pPr>
              <w:pStyle w:val="Table1"/>
              <w:rPr>
                <w:lang w:eastAsia="ja-JP"/>
              </w:rPr>
            </w:pPr>
            <w:r>
              <w:rPr>
                <w:lang w:eastAsia="ja-JP"/>
              </w:rPr>
              <w:t>Strand Diameter</w:t>
            </w:r>
            <w:r w:rsidRPr="001D7380">
              <w:rPr>
                <w:lang w:eastAsia="ja-JP"/>
              </w:rPr>
              <w:t xml:space="preserve"> </w:t>
            </w:r>
          </w:p>
        </w:tc>
        <w:tc>
          <w:tcPr>
            <w:tcW w:w="2475" w:type="dxa"/>
            <w:shd w:val="clear" w:color="auto" w:fill="auto"/>
            <w:noWrap/>
            <w:vAlign w:val="center"/>
          </w:tcPr>
          <w:p w14:paraId="5AC11155" w14:textId="6EF7EFDF" w:rsidR="0067210B" w:rsidRPr="001D7380" w:rsidRDefault="001026E8" w:rsidP="00D94216">
            <w:pPr>
              <w:pStyle w:val="Table1"/>
              <w:rPr>
                <w:lang w:eastAsia="ja-JP"/>
              </w:rPr>
            </w:pPr>
            <w:r>
              <w:rPr>
                <w:lang w:eastAsia="ja-JP"/>
              </w:rPr>
              <w:t>1.10</w:t>
            </w:r>
            <w:r w:rsidR="0067210B" w:rsidRPr="001D7380">
              <w:rPr>
                <w:lang w:eastAsia="ja-JP"/>
              </w:rPr>
              <w:t xml:space="preserve">0 </w:t>
            </w:r>
            <w:r w:rsidR="0067210B" w:rsidRPr="001D7380">
              <w:rPr>
                <w:lang w:eastAsia="ja-JP"/>
              </w:rPr>
              <w:sym w:font="Symbol" w:char="F0B1"/>
            </w:r>
            <w:r w:rsidR="0067210B" w:rsidRPr="001D7380">
              <w:rPr>
                <w:lang w:eastAsia="ja-JP"/>
              </w:rPr>
              <w:t xml:space="preserve"> 0.003</w:t>
            </w:r>
          </w:p>
        </w:tc>
        <w:tc>
          <w:tcPr>
            <w:tcW w:w="1440" w:type="dxa"/>
            <w:vAlign w:val="center"/>
          </w:tcPr>
          <w:p w14:paraId="3BC2C870" w14:textId="77777777" w:rsidR="0067210B" w:rsidRPr="001D7380" w:rsidRDefault="0067210B" w:rsidP="00D94216">
            <w:pPr>
              <w:pStyle w:val="Table1"/>
              <w:rPr>
                <w:lang w:eastAsia="ja-JP"/>
              </w:rPr>
            </w:pPr>
            <w:r>
              <w:rPr>
                <w:lang w:eastAsia="ja-JP"/>
              </w:rPr>
              <w:t>mm</w:t>
            </w:r>
          </w:p>
        </w:tc>
      </w:tr>
      <w:tr w:rsidR="0067210B" w:rsidRPr="001D7380" w14:paraId="48A0BD74" w14:textId="77777777" w:rsidTr="003A2EA0">
        <w:trPr>
          <w:trHeight w:val="427"/>
          <w:jc w:val="center"/>
        </w:trPr>
        <w:tc>
          <w:tcPr>
            <w:tcW w:w="3818" w:type="dxa"/>
            <w:shd w:val="clear" w:color="auto" w:fill="auto"/>
            <w:noWrap/>
            <w:vAlign w:val="center"/>
          </w:tcPr>
          <w:p w14:paraId="4DDB1F74" w14:textId="70BE9674" w:rsidR="0067210B" w:rsidRPr="001D7380" w:rsidRDefault="0067210B" w:rsidP="00D94216">
            <w:pPr>
              <w:pStyle w:val="Table1"/>
              <w:rPr>
                <w:lang w:eastAsia="ja-JP"/>
              </w:rPr>
            </w:pPr>
            <w:r>
              <w:rPr>
                <w:lang w:eastAsia="ja-JP"/>
              </w:rPr>
              <w:t xml:space="preserve">Critical current </w:t>
            </w:r>
            <w:r w:rsidRPr="00D5670B">
              <w:rPr>
                <w:lang w:eastAsia="ja-JP"/>
              </w:rPr>
              <w:t>at 4.2 K and 1</w:t>
            </w:r>
            <w:r w:rsidR="001026E8">
              <w:rPr>
                <w:lang w:eastAsia="ja-JP"/>
              </w:rPr>
              <w:t>6</w:t>
            </w:r>
            <w:r w:rsidRPr="00D5670B">
              <w:rPr>
                <w:lang w:eastAsia="ja-JP"/>
              </w:rPr>
              <w:t xml:space="preserve"> T</w:t>
            </w:r>
          </w:p>
        </w:tc>
        <w:tc>
          <w:tcPr>
            <w:tcW w:w="2475" w:type="dxa"/>
            <w:shd w:val="clear" w:color="auto" w:fill="auto"/>
            <w:noWrap/>
            <w:vAlign w:val="center"/>
          </w:tcPr>
          <w:p w14:paraId="6A528AF7" w14:textId="7AC028AE" w:rsidR="0067210B" w:rsidRPr="001D7380" w:rsidRDefault="0067210B" w:rsidP="00D94216">
            <w:pPr>
              <w:pStyle w:val="Table1"/>
              <w:rPr>
                <w:lang w:eastAsia="ja-JP"/>
              </w:rPr>
            </w:pPr>
            <w:r w:rsidRPr="001D7380">
              <w:rPr>
                <w:lang w:eastAsia="ja-JP"/>
              </w:rPr>
              <w:t xml:space="preserve">&gt; </w:t>
            </w:r>
            <w:r w:rsidR="003A2EA0">
              <w:rPr>
                <w:lang w:eastAsia="ja-JP"/>
              </w:rPr>
              <w:t>600</w:t>
            </w:r>
          </w:p>
        </w:tc>
        <w:tc>
          <w:tcPr>
            <w:tcW w:w="1440" w:type="dxa"/>
            <w:vAlign w:val="center"/>
          </w:tcPr>
          <w:p w14:paraId="7BAA2029" w14:textId="77777777" w:rsidR="0067210B" w:rsidRPr="001D7380" w:rsidRDefault="0067210B" w:rsidP="00D94216">
            <w:pPr>
              <w:pStyle w:val="Table1"/>
              <w:rPr>
                <w:lang w:eastAsia="ja-JP"/>
              </w:rPr>
            </w:pPr>
            <w:r>
              <w:rPr>
                <w:lang w:eastAsia="ja-JP"/>
              </w:rPr>
              <w:t>A</w:t>
            </w:r>
          </w:p>
        </w:tc>
      </w:tr>
      <w:tr w:rsidR="0067210B" w:rsidRPr="001D7380" w14:paraId="01B8C7AD" w14:textId="77777777" w:rsidTr="003A2EA0">
        <w:trPr>
          <w:trHeight w:val="427"/>
          <w:jc w:val="center"/>
        </w:trPr>
        <w:tc>
          <w:tcPr>
            <w:tcW w:w="3818" w:type="dxa"/>
            <w:shd w:val="clear" w:color="auto" w:fill="auto"/>
            <w:noWrap/>
            <w:vAlign w:val="center"/>
          </w:tcPr>
          <w:p w14:paraId="5990EF05" w14:textId="77777777" w:rsidR="0067210B" w:rsidRPr="00E61279" w:rsidRDefault="0067210B" w:rsidP="00D94216">
            <w:pPr>
              <w:pStyle w:val="Table1"/>
              <w:rPr>
                <w:lang w:eastAsia="ja-JP"/>
              </w:rPr>
            </w:pPr>
            <w:r>
              <w:rPr>
                <w:lang w:eastAsia="ja-JP"/>
              </w:rPr>
              <w:t>Critical current at 4.2 K and 15 T</w:t>
            </w:r>
          </w:p>
        </w:tc>
        <w:tc>
          <w:tcPr>
            <w:tcW w:w="2475" w:type="dxa"/>
            <w:shd w:val="clear" w:color="auto" w:fill="auto"/>
            <w:noWrap/>
            <w:vAlign w:val="center"/>
          </w:tcPr>
          <w:p w14:paraId="282E7187" w14:textId="5C4977AC" w:rsidR="0067210B" w:rsidRPr="001D7380" w:rsidRDefault="0067210B" w:rsidP="00D94216">
            <w:pPr>
              <w:pStyle w:val="Table1"/>
              <w:rPr>
                <w:lang w:eastAsia="ja-JP"/>
              </w:rPr>
            </w:pPr>
            <w:r>
              <w:rPr>
                <w:lang w:eastAsia="ja-JP"/>
              </w:rPr>
              <w:t xml:space="preserve">&gt; </w:t>
            </w:r>
            <w:r w:rsidR="003A2EA0">
              <w:rPr>
                <w:lang w:eastAsia="ja-JP"/>
              </w:rPr>
              <w:t>760</w:t>
            </w:r>
          </w:p>
        </w:tc>
        <w:tc>
          <w:tcPr>
            <w:tcW w:w="1440" w:type="dxa"/>
            <w:vAlign w:val="center"/>
          </w:tcPr>
          <w:p w14:paraId="18C6124D" w14:textId="77777777" w:rsidR="0067210B" w:rsidRPr="001D7380" w:rsidRDefault="0067210B" w:rsidP="00D94216">
            <w:pPr>
              <w:pStyle w:val="Table1"/>
              <w:rPr>
                <w:lang w:eastAsia="ja-JP"/>
              </w:rPr>
            </w:pPr>
            <w:r>
              <w:rPr>
                <w:lang w:eastAsia="ja-JP"/>
              </w:rPr>
              <w:t>A</w:t>
            </w:r>
          </w:p>
        </w:tc>
      </w:tr>
      <w:tr w:rsidR="0067210B" w:rsidRPr="001D7380" w14:paraId="67A36723" w14:textId="77777777" w:rsidTr="003A2EA0">
        <w:trPr>
          <w:trHeight w:val="427"/>
          <w:jc w:val="center"/>
        </w:trPr>
        <w:tc>
          <w:tcPr>
            <w:tcW w:w="3818" w:type="dxa"/>
            <w:shd w:val="clear" w:color="auto" w:fill="auto"/>
            <w:noWrap/>
            <w:vAlign w:val="center"/>
          </w:tcPr>
          <w:p w14:paraId="28D0F810" w14:textId="4D5523DE" w:rsidR="0067210B" w:rsidRPr="001D7380" w:rsidRDefault="0067210B" w:rsidP="00D94216">
            <w:pPr>
              <w:pStyle w:val="Table1"/>
              <w:rPr>
                <w:lang w:eastAsia="ja-JP"/>
              </w:rPr>
            </w:pPr>
            <w:r w:rsidRPr="001D7380">
              <w:rPr>
                <w:i/>
                <w:lang w:eastAsia="ja-JP"/>
              </w:rPr>
              <w:t>n</w:t>
            </w:r>
            <w:r w:rsidRPr="001D7380">
              <w:rPr>
                <w:lang w:eastAsia="ja-JP"/>
              </w:rPr>
              <w:t>-value at 1</w:t>
            </w:r>
            <w:r w:rsidR="001026E8">
              <w:rPr>
                <w:lang w:eastAsia="ja-JP"/>
              </w:rPr>
              <w:t>6</w:t>
            </w:r>
            <w:r w:rsidRPr="001D7380">
              <w:rPr>
                <w:lang w:eastAsia="ja-JP"/>
              </w:rPr>
              <w:t xml:space="preserve"> T</w:t>
            </w:r>
          </w:p>
        </w:tc>
        <w:tc>
          <w:tcPr>
            <w:tcW w:w="2475" w:type="dxa"/>
            <w:shd w:val="clear" w:color="auto" w:fill="auto"/>
            <w:noWrap/>
            <w:vAlign w:val="center"/>
          </w:tcPr>
          <w:p w14:paraId="73C94AD7" w14:textId="77777777" w:rsidR="0067210B" w:rsidRPr="001D7380" w:rsidRDefault="0067210B" w:rsidP="00D94216">
            <w:pPr>
              <w:pStyle w:val="Table1"/>
              <w:rPr>
                <w:lang w:eastAsia="ja-JP"/>
              </w:rPr>
            </w:pPr>
            <w:r w:rsidRPr="001D7380">
              <w:rPr>
                <w:lang w:eastAsia="ja-JP"/>
              </w:rPr>
              <w:t>&gt; 30</w:t>
            </w:r>
          </w:p>
        </w:tc>
        <w:tc>
          <w:tcPr>
            <w:tcW w:w="1440" w:type="dxa"/>
            <w:vAlign w:val="center"/>
          </w:tcPr>
          <w:p w14:paraId="0C490076" w14:textId="77777777" w:rsidR="0067210B" w:rsidRPr="001D7380" w:rsidRDefault="0067210B" w:rsidP="00D94216">
            <w:pPr>
              <w:pStyle w:val="Table1"/>
              <w:rPr>
                <w:lang w:eastAsia="ja-JP"/>
              </w:rPr>
            </w:pPr>
          </w:p>
        </w:tc>
      </w:tr>
      <w:tr w:rsidR="0067210B" w:rsidRPr="001D7380" w14:paraId="48DE9874" w14:textId="77777777" w:rsidTr="003A2EA0">
        <w:trPr>
          <w:trHeight w:val="427"/>
          <w:jc w:val="center"/>
        </w:trPr>
        <w:tc>
          <w:tcPr>
            <w:tcW w:w="3818" w:type="dxa"/>
            <w:shd w:val="clear" w:color="auto" w:fill="auto"/>
            <w:noWrap/>
            <w:vAlign w:val="center"/>
          </w:tcPr>
          <w:p w14:paraId="02B8935E" w14:textId="77777777" w:rsidR="0067210B" w:rsidRDefault="0067210B" w:rsidP="00D94216">
            <w:pPr>
              <w:pStyle w:val="Table1"/>
              <w:rPr>
                <w:lang w:eastAsia="ja-JP"/>
              </w:rPr>
            </w:pPr>
            <w:r w:rsidRPr="005A6FF0">
              <w:rPr>
                <w:lang w:eastAsia="ja-JP"/>
              </w:rPr>
              <w:t>Count of sub-elements</w:t>
            </w:r>
          </w:p>
          <w:p w14:paraId="7DFA34F7" w14:textId="77777777" w:rsidR="0067210B" w:rsidRPr="005A6FF0" w:rsidRDefault="0067210B" w:rsidP="00D94216">
            <w:pPr>
              <w:pStyle w:val="Table1"/>
              <w:rPr>
                <w:lang w:eastAsia="ja-JP"/>
              </w:rPr>
            </w:pPr>
            <w:r>
              <w:rPr>
                <w:lang w:eastAsia="ja-JP"/>
              </w:rPr>
              <w:t>(Equivalent sub-element diameter)</w:t>
            </w:r>
          </w:p>
        </w:tc>
        <w:tc>
          <w:tcPr>
            <w:tcW w:w="2475" w:type="dxa"/>
            <w:shd w:val="clear" w:color="auto" w:fill="auto"/>
            <w:noWrap/>
            <w:vAlign w:val="center"/>
          </w:tcPr>
          <w:p w14:paraId="02CEF44D" w14:textId="55CB7511" w:rsidR="0067210B" w:rsidRDefault="003A2EA0" w:rsidP="00D94216">
            <w:pPr>
              <w:pStyle w:val="Table1"/>
              <w:rPr>
                <w:lang w:eastAsia="ja-JP"/>
              </w:rPr>
            </w:pPr>
            <w:r>
              <w:rPr>
                <w:lang w:eastAsia="ja-JP"/>
              </w:rPr>
              <w:t>162</w:t>
            </w:r>
          </w:p>
          <w:p w14:paraId="587EEF3C" w14:textId="1D76F33F" w:rsidR="0067210B" w:rsidRPr="005A6FF0" w:rsidRDefault="0067210B" w:rsidP="00D94216">
            <w:pPr>
              <w:pStyle w:val="Table1"/>
              <w:rPr>
                <w:lang w:eastAsia="ja-JP"/>
              </w:rPr>
            </w:pPr>
            <w:r>
              <w:rPr>
                <w:lang w:eastAsia="ja-JP"/>
              </w:rPr>
              <w:t>(</w:t>
            </w:r>
            <w:r>
              <w:rPr>
                <w:rFonts w:ascii="Times New Roman" w:hAnsi="Times New Roman"/>
                <w:lang w:eastAsia="ja-JP"/>
              </w:rPr>
              <w:t>≤</w:t>
            </w:r>
            <w:r>
              <w:rPr>
                <w:lang w:eastAsia="ja-JP"/>
              </w:rPr>
              <w:t xml:space="preserve"> </w:t>
            </w:r>
            <w:r w:rsidR="003A2EA0">
              <w:rPr>
                <w:lang w:eastAsia="ja-JP"/>
              </w:rPr>
              <w:t>63</w:t>
            </w:r>
            <w:r>
              <w:rPr>
                <w:lang w:eastAsia="ja-JP"/>
              </w:rPr>
              <w:t>)</w:t>
            </w:r>
          </w:p>
        </w:tc>
        <w:tc>
          <w:tcPr>
            <w:tcW w:w="1440" w:type="dxa"/>
            <w:vAlign w:val="center"/>
          </w:tcPr>
          <w:p w14:paraId="18ACB2A9" w14:textId="77777777" w:rsidR="0067210B" w:rsidRDefault="0067210B" w:rsidP="00D94216">
            <w:pPr>
              <w:pStyle w:val="Table1"/>
              <w:rPr>
                <w:lang w:eastAsia="ja-JP"/>
              </w:rPr>
            </w:pPr>
          </w:p>
          <w:p w14:paraId="344EAA0E" w14:textId="77777777" w:rsidR="0067210B" w:rsidRPr="005A6FF0" w:rsidRDefault="0067210B" w:rsidP="00D94216">
            <w:pPr>
              <w:pStyle w:val="Table1"/>
              <w:rPr>
                <w:lang w:eastAsia="ja-JP"/>
              </w:rPr>
            </w:pPr>
            <w:r>
              <w:rPr>
                <w:lang w:eastAsia="ja-JP"/>
              </w:rPr>
              <w:t>(µm)</w:t>
            </w:r>
          </w:p>
        </w:tc>
      </w:tr>
      <w:tr w:rsidR="0067210B" w:rsidRPr="001D7380" w14:paraId="1A426A4E" w14:textId="77777777" w:rsidTr="003A2EA0">
        <w:trPr>
          <w:trHeight w:val="359"/>
          <w:jc w:val="center"/>
        </w:trPr>
        <w:tc>
          <w:tcPr>
            <w:tcW w:w="3818" w:type="dxa"/>
            <w:shd w:val="clear" w:color="auto" w:fill="auto"/>
            <w:noWrap/>
            <w:vAlign w:val="center"/>
          </w:tcPr>
          <w:p w14:paraId="1E8B6AEA" w14:textId="77777777" w:rsidR="0067210B" w:rsidRDefault="0067210B" w:rsidP="00D94216">
            <w:pPr>
              <w:pStyle w:val="Table1"/>
              <w:rPr>
                <w:lang w:eastAsia="ja-JP"/>
              </w:rPr>
            </w:pPr>
            <w:r>
              <w:rPr>
                <w:lang w:eastAsia="ja-JP"/>
              </w:rPr>
              <w:t xml:space="preserve">Mean </w:t>
            </w:r>
            <w:proofErr w:type="spellStart"/>
            <w:r w:rsidRPr="001D7380">
              <w:rPr>
                <w:lang w:eastAsia="ja-JP"/>
              </w:rPr>
              <w:t>Cu:Non-Cu</w:t>
            </w:r>
            <w:proofErr w:type="spellEnd"/>
            <w:r w:rsidRPr="001D7380">
              <w:rPr>
                <w:lang w:eastAsia="ja-JP"/>
              </w:rPr>
              <w:t xml:space="preserve"> volume Ratio</w:t>
            </w:r>
          </w:p>
          <w:p w14:paraId="65916580" w14:textId="77777777" w:rsidR="0067210B" w:rsidRDefault="0067210B" w:rsidP="00D94216">
            <w:pPr>
              <w:pStyle w:val="Table1"/>
              <w:rPr>
                <w:lang w:eastAsia="ja-JP"/>
              </w:rPr>
            </w:pPr>
            <w:r>
              <w:rPr>
                <w:lang w:eastAsia="ja-JP"/>
              </w:rPr>
              <w:t xml:space="preserve">Variation around mean </w:t>
            </w:r>
          </w:p>
          <w:p w14:paraId="15EFDF2E" w14:textId="77777777" w:rsidR="0067210B" w:rsidRPr="001D7380" w:rsidRDefault="0067210B" w:rsidP="00D94216">
            <w:pPr>
              <w:pStyle w:val="Table1"/>
              <w:rPr>
                <w:lang w:eastAsia="ja-JP"/>
              </w:rPr>
            </w:pPr>
            <w:r>
              <w:rPr>
                <w:lang w:eastAsia="ja-JP"/>
              </w:rPr>
              <w:t>(Mean copper fraction)</w:t>
            </w:r>
          </w:p>
        </w:tc>
        <w:tc>
          <w:tcPr>
            <w:tcW w:w="2475" w:type="dxa"/>
            <w:shd w:val="clear" w:color="auto" w:fill="auto"/>
            <w:noWrap/>
            <w:vAlign w:val="center"/>
          </w:tcPr>
          <w:p w14:paraId="2E51AEF8" w14:textId="6677D557" w:rsidR="0067210B" w:rsidRDefault="003A2EA0" w:rsidP="00D94216">
            <w:pPr>
              <w:pStyle w:val="Table1"/>
              <w:rPr>
                <w:lang w:eastAsia="ja-JP"/>
              </w:rPr>
            </w:pPr>
            <w:r>
              <w:rPr>
                <w:lang w:eastAsia="ja-JP"/>
              </w:rPr>
              <w:t>0</w:t>
            </w:r>
            <w:r w:rsidR="0067210B">
              <w:rPr>
                <w:lang w:eastAsia="ja-JP"/>
              </w:rPr>
              <w:t>.</w:t>
            </w:r>
            <w:r>
              <w:rPr>
                <w:lang w:eastAsia="ja-JP"/>
              </w:rPr>
              <w:t>9</w:t>
            </w:r>
          </w:p>
          <w:p w14:paraId="0EB22FF8" w14:textId="77777777" w:rsidR="0067210B" w:rsidRDefault="0067210B" w:rsidP="00D94216">
            <w:pPr>
              <w:pStyle w:val="Table1"/>
              <w:rPr>
                <w:lang w:eastAsia="ja-JP"/>
              </w:rPr>
            </w:pPr>
            <w:r w:rsidRPr="001D7380">
              <w:rPr>
                <w:lang w:eastAsia="ja-JP"/>
              </w:rPr>
              <w:sym w:font="Symbol" w:char="F0B1"/>
            </w:r>
            <w:r w:rsidRPr="001D7380">
              <w:rPr>
                <w:lang w:eastAsia="ja-JP"/>
              </w:rPr>
              <w:t xml:space="preserve"> 0.1 </w:t>
            </w:r>
          </w:p>
          <w:p w14:paraId="64E708B2" w14:textId="410C3A7B" w:rsidR="0067210B" w:rsidRPr="001D7380" w:rsidRDefault="0067210B" w:rsidP="00D94216">
            <w:pPr>
              <w:pStyle w:val="Table1"/>
              <w:rPr>
                <w:lang w:eastAsia="ja-JP"/>
              </w:rPr>
            </w:pPr>
            <w:r>
              <w:rPr>
                <w:lang w:eastAsia="ja-JP"/>
              </w:rPr>
              <w:t>(</w:t>
            </w:r>
            <w:r w:rsidR="003A2EA0">
              <w:rPr>
                <w:lang w:eastAsia="ja-JP"/>
              </w:rPr>
              <w:t>47</w:t>
            </w:r>
            <w:r>
              <w:rPr>
                <w:lang w:eastAsia="ja-JP"/>
              </w:rPr>
              <w:t>.</w:t>
            </w:r>
            <w:r w:rsidR="003A2EA0">
              <w:rPr>
                <w:lang w:eastAsia="ja-JP"/>
              </w:rPr>
              <w:t>4</w:t>
            </w:r>
            <w:r>
              <w:rPr>
                <w:lang w:eastAsia="ja-JP"/>
              </w:rPr>
              <w:t>%)</w:t>
            </w:r>
          </w:p>
        </w:tc>
        <w:tc>
          <w:tcPr>
            <w:tcW w:w="1440" w:type="dxa"/>
            <w:vAlign w:val="center"/>
          </w:tcPr>
          <w:p w14:paraId="0E457912" w14:textId="77777777" w:rsidR="0067210B" w:rsidRPr="001D7380" w:rsidRDefault="0067210B" w:rsidP="00D94216">
            <w:pPr>
              <w:pStyle w:val="Table1"/>
              <w:rPr>
                <w:lang w:eastAsia="ja-JP"/>
              </w:rPr>
            </w:pPr>
          </w:p>
        </w:tc>
      </w:tr>
      <w:tr w:rsidR="0067210B" w:rsidRPr="001D7380" w14:paraId="7B8E44D5" w14:textId="77777777" w:rsidTr="003A2EA0">
        <w:trPr>
          <w:trHeight w:val="359"/>
          <w:jc w:val="center"/>
        </w:trPr>
        <w:tc>
          <w:tcPr>
            <w:tcW w:w="3818" w:type="dxa"/>
            <w:shd w:val="clear" w:color="auto" w:fill="auto"/>
            <w:noWrap/>
            <w:vAlign w:val="center"/>
          </w:tcPr>
          <w:p w14:paraId="00F4DFBF" w14:textId="77777777" w:rsidR="0067210B" w:rsidRDefault="0067210B" w:rsidP="00D94216">
            <w:pPr>
              <w:pStyle w:val="Table1"/>
              <w:rPr>
                <w:i/>
                <w:lang w:eastAsia="ja-JP"/>
              </w:rPr>
            </w:pPr>
            <w:r w:rsidRPr="001D7380">
              <w:rPr>
                <w:lang w:eastAsia="ja-JP"/>
              </w:rPr>
              <w:t xml:space="preserve">Residual Resistance Ratio </w:t>
            </w:r>
            <w:r w:rsidRPr="001C5818">
              <w:rPr>
                <w:i/>
                <w:lang w:eastAsia="ja-JP"/>
              </w:rPr>
              <w:t>RRR</w:t>
            </w:r>
          </w:p>
          <w:p w14:paraId="4D3858B6" w14:textId="77777777" w:rsidR="0067210B" w:rsidRPr="001D7380" w:rsidRDefault="0067210B" w:rsidP="00D94216">
            <w:pPr>
              <w:pStyle w:val="Table1"/>
              <w:rPr>
                <w:lang w:eastAsia="ja-JP"/>
              </w:rPr>
            </w:pPr>
            <w:r>
              <w:rPr>
                <w:lang w:eastAsia="ja-JP"/>
              </w:rPr>
              <w:t>for reacted final-size strand</w:t>
            </w:r>
          </w:p>
        </w:tc>
        <w:tc>
          <w:tcPr>
            <w:tcW w:w="2475" w:type="dxa"/>
            <w:shd w:val="clear" w:color="auto" w:fill="auto"/>
            <w:noWrap/>
            <w:vAlign w:val="center"/>
          </w:tcPr>
          <w:p w14:paraId="05B00C0C" w14:textId="77777777" w:rsidR="0067210B" w:rsidRPr="001D7380" w:rsidRDefault="0067210B" w:rsidP="00D94216">
            <w:pPr>
              <w:pStyle w:val="Table1"/>
              <w:rPr>
                <w:lang w:eastAsia="ja-JP"/>
              </w:rPr>
            </w:pPr>
            <w:r w:rsidRPr="001D7380">
              <w:rPr>
                <w:lang w:eastAsia="ja-JP"/>
              </w:rPr>
              <w:t>≥ 150</w:t>
            </w:r>
            <w:r>
              <w:rPr>
                <w:lang w:eastAsia="ja-JP"/>
              </w:rPr>
              <w:t xml:space="preserve"> </w:t>
            </w:r>
          </w:p>
        </w:tc>
        <w:tc>
          <w:tcPr>
            <w:tcW w:w="1440" w:type="dxa"/>
            <w:vAlign w:val="center"/>
          </w:tcPr>
          <w:p w14:paraId="4DCAE3B4" w14:textId="77777777" w:rsidR="0067210B" w:rsidRPr="001D7380" w:rsidRDefault="0067210B" w:rsidP="00D94216">
            <w:pPr>
              <w:pStyle w:val="Table1"/>
              <w:rPr>
                <w:lang w:eastAsia="ja-JP"/>
              </w:rPr>
            </w:pPr>
          </w:p>
        </w:tc>
      </w:tr>
      <w:tr w:rsidR="0067210B" w:rsidRPr="001D7380" w14:paraId="2B8CE715" w14:textId="77777777" w:rsidTr="003A2EA0">
        <w:trPr>
          <w:trHeight w:val="359"/>
          <w:jc w:val="center"/>
        </w:trPr>
        <w:tc>
          <w:tcPr>
            <w:tcW w:w="3818" w:type="dxa"/>
            <w:shd w:val="clear" w:color="auto" w:fill="auto"/>
            <w:noWrap/>
            <w:vAlign w:val="center"/>
          </w:tcPr>
          <w:p w14:paraId="1BF3946B" w14:textId="77777777" w:rsidR="0067210B" w:rsidRPr="001D7380" w:rsidRDefault="0067210B" w:rsidP="00D94216">
            <w:pPr>
              <w:pStyle w:val="Table1"/>
              <w:rPr>
                <w:lang w:eastAsia="ja-JP"/>
              </w:rPr>
            </w:pPr>
            <w:r>
              <w:rPr>
                <w:lang w:eastAsia="ja-JP"/>
              </w:rPr>
              <w:t>Twist Pitch</w:t>
            </w:r>
          </w:p>
        </w:tc>
        <w:tc>
          <w:tcPr>
            <w:tcW w:w="2475" w:type="dxa"/>
            <w:shd w:val="clear" w:color="auto" w:fill="auto"/>
            <w:noWrap/>
            <w:vAlign w:val="center"/>
          </w:tcPr>
          <w:p w14:paraId="6A919C38" w14:textId="77777777" w:rsidR="0067210B" w:rsidRPr="001D7380" w:rsidRDefault="0067210B" w:rsidP="00D94216">
            <w:pPr>
              <w:pStyle w:val="Table1"/>
              <w:rPr>
                <w:lang w:eastAsia="ja-JP"/>
              </w:rPr>
            </w:pPr>
            <w:r w:rsidRPr="001D7380">
              <w:rPr>
                <w:lang w:eastAsia="ja-JP"/>
              </w:rPr>
              <w:t xml:space="preserve">19.0 </w:t>
            </w:r>
            <w:r w:rsidRPr="001D7380">
              <w:rPr>
                <w:lang w:eastAsia="ja-JP"/>
              </w:rPr>
              <w:sym w:font="Symbol" w:char="F0B1"/>
            </w:r>
            <w:r w:rsidRPr="001D7380">
              <w:rPr>
                <w:lang w:eastAsia="ja-JP"/>
              </w:rPr>
              <w:t xml:space="preserve"> </w:t>
            </w:r>
            <w:r>
              <w:rPr>
                <w:lang w:eastAsia="ja-JP"/>
              </w:rPr>
              <w:t>3</w:t>
            </w:r>
            <w:r w:rsidRPr="001D7380">
              <w:rPr>
                <w:lang w:eastAsia="ja-JP"/>
              </w:rPr>
              <w:t>.0</w:t>
            </w:r>
          </w:p>
        </w:tc>
        <w:tc>
          <w:tcPr>
            <w:tcW w:w="1440" w:type="dxa"/>
            <w:vAlign w:val="center"/>
          </w:tcPr>
          <w:p w14:paraId="6F22F7E4" w14:textId="77777777" w:rsidR="0067210B" w:rsidRPr="001D7380" w:rsidRDefault="0067210B" w:rsidP="00D94216">
            <w:pPr>
              <w:pStyle w:val="Table1"/>
              <w:rPr>
                <w:lang w:eastAsia="ja-JP"/>
              </w:rPr>
            </w:pPr>
            <w:r>
              <w:rPr>
                <w:lang w:eastAsia="ja-JP"/>
              </w:rPr>
              <w:t>mm</w:t>
            </w:r>
          </w:p>
        </w:tc>
      </w:tr>
      <w:tr w:rsidR="0067210B" w:rsidRPr="001D7380" w14:paraId="44016A99" w14:textId="77777777" w:rsidTr="003A2EA0">
        <w:trPr>
          <w:trHeight w:val="359"/>
          <w:jc w:val="center"/>
        </w:trPr>
        <w:tc>
          <w:tcPr>
            <w:tcW w:w="3818" w:type="dxa"/>
            <w:shd w:val="clear" w:color="auto" w:fill="auto"/>
            <w:noWrap/>
            <w:vAlign w:val="center"/>
          </w:tcPr>
          <w:p w14:paraId="5789D0D7" w14:textId="77777777" w:rsidR="0067210B" w:rsidRPr="001D7380" w:rsidRDefault="0067210B" w:rsidP="00D94216">
            <w:pPr>
              <w:pStyle w:val="Table1"/>
              <w:rPr>
                <w:lang w:eastAsia="ja-JP"/>
              </w:rPr>
            </w:pPr>
            <w:r w:rsidRPr="001D7380">
              <w:rPr>
                <w:lang w:eastAsia="ja-JP"/>
              </w:rPr>
              <w:t>Twist Direction</w:t>
            </w:r>
          </w:p>
        </w:tc>
        <w:tc>
          <w:tcPr>
            <w:tcW w:w="2475" w:type="dxa"/>
            <w:shd w:val="clear" w:color="auto" w:fill="auto"/>
            <w:noWrap/>
            <w:vAlign w:val="center"/>
          </w:tcPr>
          <w:p w14:paraId="5D1DBB7E" w14:textId="77777777" w:rsidR="0067210B" w:rsidRPr="001D7380" w:rsidRDefault="0067210B" w:rsidP="00D94216">
            <w:pPr>
              <w:pStyle w:val="Table1"/>
              <w:rPr>
                <w:lang w:eastAsia="ja-JP"/>
              </w:rPr>
            </w:pPr>
            <w:r w:rsidRPr="001D7380">
              <w:rPr>
                <w:lang w:eastAsia="ja-JP"/>
              </w:rPr>
              <w:t>Right-hand screw</w:t>
            </w:r>
          </w:p>
        </w:tc>
        <w:tc>
          <w:tcPr>
            <w:tcW w:w="1440" w:type="dxa"/>
            <w:vAlign w:val="center"/>
          </w:tcPr>
          <w:p w14:paraId="58AEC67C" w14:textId="77777777" w:rsidR="0067210B" w:rsidRPr="001D7380" w:rsidRDefault="0067210B" w:rsidP="00D94216">
            <w:pPr>
              <w:pStyle w:val="Table1"/>
              <w:rPr>
                <w:lang w:eastAsia="ja-JP"/>
              </w:rPr>
            </w:pPr>
          </w:p>
        </w:tc>
      </w:tr>
      <w:tr w:rsidR="0067210B" w:rsidRPr="001D7380" w14:paraId="44AA6D8C" w14:textId="77777777" w:rsidTr="003A2EA0">
        <w:trPr>
          <w:trHeight w:val="359"/>
          <w:jc w:val="center"/>
        </w:trPr>
        <w:tc>
          <w:tcPr>
            <w:tcW w:w="3818" w:type="dxa"/>
            <w:shd w:val="clear" w:color="auto" w:fill="auto"/>
            <w:noWrap/>
            <w:vAlign w:val="center"/>
          </w:tcPr>
          <w:p w14:paraId="05634A79" w14:textId="77777777" w:rsidR="0067210B" w:rsidRPr="001D7380" w:rsidRDefault="0067210B" w:rsidP="00D94216">
            <w:pPr>
              <w:pStyle w:val="Table1"/>
              <w:rPr>
                <w:lang w:eastAsia="ja-JP"/>
              </w:rPr>
            </w:pPr>
            <w:r w:rsidRPr="001D7380">
              <w:rPr>
                <w:lang w:eastAsia="ja-JP"/>
              </w:rPr>
              <w:t>Strand Spring Back</w:t>
            </w:r>
          </w:p>
        </w:tc>
        <w:tc>
          <w:tcPr>
            <w:tcW w:w="2475" w:type="dxa"/>
            <w:shd w:val="clear" w:color="auto" w:fill="auto"/>
            <w:noWrap/>
            <w:vAlign w:val="center"/>
          </w:tcPr>
          <w:p w14:paraId="4D2CC418" w14:textId="77777777" w:rsidR="0067210B" w:rsidRPr="001D7380" w:rsidRDefault="0067210B" w:rsidP="00D94216">
            <w:pPr>
              <w:pStyle w:val="Table1"/>
              <w:rPr>
                <w:lang w:eastAsia="ja-JP"/>
              </w:rPr>
            </w:pPr>
            <w:r w:rsidRPr="001D7380">
              <w:rPr>
                <w:lang w:eastAsia="ja-JP"/>
              </w:rPr>
              <w:t>&lt; 720</w:t>
            </w:r>
          </w:p>
        </w:tc>
        <w:tc>
          <w:tcPr>
            <w:tcW w:w="1440" w:type="dxa"/>
            <w:vAlign w:val="center"/>
          </w:tcPr>
          <w:p w14:paraId="496BB924" w14:textId="77777777" w:rsidR="0067210B" w:rsidRPr="001D7380" w:rsidRDefault="0067210B" w:rsidP="00D94216">
            <w:pPr>
              <w:pStyle w:val="Table1"/>
              <w:rPr>
                <w:lang w:eastAsia="ja-JP"/>
              </w:rPr>
            </w:pPr>
            <w:r>
              <w:rPr>
                <w:lang w:eastAsia="ja-JP"/>
              </w:rPr>
              <w:t>arc degrees</w:t>
            </w:r>
          </w:p>
        </w:tc>
      </w:tr>
      <w:tr w:rsidR="0067210B" w:rsidRPr="001D7380" w14:paraId="19E6A67B" w14:textId="77777777" w:rsidTr="003A2EA0">
        <w:trPr>
          <w:trHeight w:val="359"/>
          <w:jc w:val="center"/>
        </w:trPr>
        <w:tc>
          <w:tcPr>
            <w:tcW w:w="3818" w:type="dxa"/>
            <w:shd w:val="clear" w:color="auto" w:fill="auto"/>
            <w:noWrap/>
            <w:vAlign w:val="center"/>
          </w:tcPr>
          <w:p w14:paraId="070FA285" w14:textId="77777777" w:rsidR="0067210B" w:rsidRPr="001D7380" w:rsidRDefault="0067210B" w:rsidP="00D94216">
            <w:pPr>
              <w:pStyle w:val="Table1"/>
              <w:rPr>
                <w:lang w:eastAsia="ja-JP"/>
              </w:rPr>
            </w:pPr>
            <w:r w:rsidRPr="001D7380">
              <w:rPr>
                <w:lang w:eastAsia="ja-JP"/>
              </w:rPr>
              <w:t xml:space="preserve">High temperature HT duration  </w:t>
            </w:r>
          </w:p>
        </w:tc>
        <w:tc>
          <w:tcPr>
            <w:tcW w:w="2475" w:type="dxa"/>
            <w:shd w:val="clear" w:color="auto" w:fill="auto"/>
            <w:noWrap/>
            <w:vAlign w:val="center"/>
          </w:tcPr>
          <w:p w14:paraId="7DDA7D10" w14:textId="77777777" w:rsidR="0067210B" w:rsidRPr="001D7380" w:rsidRDefault="0067210B" w:rsidP="00D94216">
            <w:pPr>
              <w:pStyle w:val="Table1"/>
              <w:rPr>
                <w:lang w:eastAsia="ja-JP"/>
              </w:rPr>
            </w:pPr>
            <w:r w:rsidRPr="00D5670B">
              <w:rPr>
                <w:lang w:eastAsia="ja-JP"/>
              </w:rPr>
              <w:t xml:space="preserve">≥ 40 </w:t>
            </w:r>
          </w:p>
        </w:tc>
        <w:tc>
          <w:tcPr>
            <w:tcW w:w="1440" w:type="dxa"/>
            <w:vAlign w:val="center"/>
          </w:tcPr>
          <w:p w14:paraId="41FCCA38" w14:textId="77777777" w:rsidR="0067210B" w:rsidRPr="00D5670B" w:rsidRDefault="0067210B" w:rsidP="00D94216">
            <w:pPr>
              <w:pStyle w:val="Table1"/>
              <w:rPr>
                <w:lang w:eastAsia="ja-JP"/>
              </w:rPr>
            </w:pPr>
            <w:r>
              <w:rPr>
                <w:lang w:eastAsia="ja-JP"/>
              </w:rPr>
              <w:t>Hours</w:t>
            </w:r>
          </w:p>
        </w:tc>
      </w:tr>
      <w:tr w:rsidR="0067210B" w:rsidRPr="001D7380" w14:paraId="4236A911" w14:textId="77777777" w:rsidTr="003A2EA0">
        <w:trPr>
          <w:trHeight w:val="359"/>
          <w:jc w:val="center"/>
        </w:trPr>
        <w:tc>
          <w:tcPr>
            <w:tcW w:w="3818" w:type="dxa"/>
            <w:shd w:val="clear" w:color="auto" w:fill="auto"/>
            <w:noWrap/>
            <w:vAlign w:val="center"/>
          </w:tcPr>
          <w:p w14:paraId="408D71E2" w14:textId="77777777" w:rsidR="0067210B" w:rsidRPr="001D7380" w:rsidRDefault="0067210B" w:rsidP="00D94216">
            <w:pPr>
              <w:pStyle w:val="Table1"/>
              <w:rPr>
                <w:lang w:eastAsia="ja-JP"/>
              </w:rPr>
            </w:pPr>
            <w:r>
              <w:rPr>
                <w:lang w:eastAsia="ja-JP"/>
              </w:rPr>
              <w:t>Total heat treatment duration from start of ramp to power off and furnace cool</w:t>
            </w:r>
          </w:p>
        </w:tc>
        <w:tc>
          <w:tcPr>
            <w:tcW w:w="2475" w:type="dxa"/>
            <w:shd w:val="clear" w:color="auto" w:fill="auto"/>
            <w:noWrap/>
            <w:vAlign w:val="center"/>
          </w:tcPr>
          <w:p w14:paraId="0D56C398" w14:textId="0C20956F" w:rsidR="0067210B" w:rsidRPr="00D5670B" w:rsidRDefault="0067210B" w:rsidP="00D94216">
            <w:pPr>
              <w:pStyle w:val="Table1"/>
              <w:rPr>
                <w:lang w:eastAsia="ja-JP"/>
              </w:rPr>
            </w:pPr>
            <w:r>
              <w:rPr>
                <w:lang w:eastAsia="ja-JP"/>
              </w:rPr>
              <w:t xml:space="preserve">≤ </w:t>
            </w:r>
            <w:r w:rsidR="001026E8">
              <w:rPr>
                <w:lang w:eastAsia="ja-JP"/>
              </w:rPr>
              <w:t>300</w:t>
            </w:r>
          </w:p>
        </w:tc>
        <w:tc>
          <w:tcPr>
            <w:tcW w:w="1440" w:type="dxa"/>
            <w:vAlign w:val="center"/>
          </w:tcPr>
          <w:p w14:paraId="549A658D" w14:textId="77777777" w:rsidR="0067210B" w:rsidRDefault="0067210B" w:rsidP="00D94216">
            <w:pPr>
              <w:pStyle w:val="Table1"/>
              <w:rPr>
                <w:lang w:eastAsia="ja-JP"/>
              </w:rPr>
            </w:pPr>
            <w:r>
              <w:rPr>
                <w:lang w:eastAsia="ja-JP"/>
              </w:rPr>
              <w:t>Hours</w:t>
            </w:r>
          </w:p>
        </w:tc>
      </w:tr>
      <w:tr w:rsidR="0067210B" w:rsidRPr="001D7380" w14:paraId="2F0F9100" w14:textId="77777777" w:rsidTr="003A2EA0">
        <w:trPr>
          <w:trHeight w:val="359"/>
          <w:jc w:val="center"/>
        </w:trPr>
        <w:tc>
          <w:tcPr>
            <w:tcW w:w="3818" w:type="dxa"/>
            <w:shd w:val="clear" w:color="auto" w:fill="auto"/>
            <w:noWrap/>
            <w:vAlign w:val="center"/>
          </w:tcPr>
          <w:p w14:paraId="4600B8A8" w14:textId="77777777" w:rsidR="0067210B" w:rsidRDefault="0067210B" w:rsidP="00D94216">
            <w:pPr>
              <w:pStyle w:val="Table1"/>
              <w:rPr>
                <w:lang w:eastAsia="ja-JP"/>
              </w:rPr>
            </w:pPr>
            <w:r>
              <w:rPr>
                <w:lang w:eastAsia="ja-JP"/>
              </w:rPr>
              <w:t>Heat treatment heating ramp rate</w:t>
            </w:r>
          </w:p>
        </w:tc>
        <w:tc>
          <w:tcPr>
            <w:tcW w:w="2475" w:type="dxa"/>
            <w:shd w:val="clear" w:color="auto" w:fill="auto"/>
            <w:noWrap/>
            <w:vAlign w:val="center"/>
          </w:tcPr>
          <w:p w14:paraId="24B8E9D0" w14:textId="77777777" w:rsidR="0067210B" w:rsidRDefault="0067210B" w:rsidP="00D94216">
            <w:pPr>
              <w:pStyle w:val="Table1"/>
              <w:rPr>
                <w:lang w:eastAsia="ja-JP"/>
              </w:rPr>
            </w:pPr>
            <w:r>
              <w:rPr>
                <w:lang w:eastAsia="ja-JP"/>
              </w:rPr>
              <w:t>≤ 50</w:t>
            </w:r>
          </w:p>
        </w:tc>
        <w:tc>
          <w:tcPr>
            <w:tcW w:w="1440" w:type="dxa"/>
            <w:vAlign w:val="center"/>
          </w:tcPr>
          <w:p w14:paraId="64EE8FCD" w14:textId="77777777" w:rsidR="0067210B" w:rsidRDefault="0067210B" w:rsidP="00D94216">
            <w:pPr>
              <w:pStyle w:val="Table1"/>
              <w:rPr>
                <w:lang w:eastAsia="ja-JP"/>
              </w:rPr>
            </w:pPr>
            <w:r>
              <w:rPr>
                <w:lang w:eastAsia="ja-JP"/>
              </w:rPr>
              <w:t>°C per hour</w:t>
            </w:r>
          </w:p>
        </w:tc>
      </w:tr>
      <w:tr w:rsidR="0067210B" w:rsidRPr="001D7380" w14:paraId="26A6A9A7" w14:textId="77777777" w:rsidTr="003A2EA0">
        <w:trPr>
          <w:trHeight w:val="359"/>
          <w:jc w:val="center"/>
        </w:trPr>
        <w:tc>
          <w:tcPr>
            <w:tcW w:w="3818" w:type="dxa"/>
            <w:shd w:val="clear" w:color="auto" w:fill="auto"/>
            <w:noWrap/>
            <w:vAlign w:val="center"/>
          </w:tcPr>
          <w:p w14:paraId="033A8B90" w14:textId="2071930B" w:rsidR="0067210B" w:rsidRDefault="0067210B" w:rsidP="00D94216">
            <w:pPr>
              <w:pStyle w:val="Table1"/>
              <w:rPr>
                <w:lang w:eastAsia="ja-JP"/>
              </w:rPr>
            </w:pPr>
            <w:r>
              <w:rPr>
                <w:lang w:eastAsia="ja-JP"/>
              </w:rPr>
              <w:t>Rolled strand (0.</w:t>
            </w:r>
            <w:r w:rsidR="00781B2E">
              <w:rPr>
                <w:lang w:eastAsia="ja-JP"/>
              </w:rPr>
              <w:t>93</w:t>
            </w:r>
            <w:r>
              <w:rPr>
                <w:lang w:eastAsia="ja-JP"/>
              </w:rPr>
              <w:t>5 mm th</w:t>
            </w:r>
            <w:r w:rsidR="003A2EA0">
              <w:rPr>
                <w:lang w:eastAsia="ja-JP"/>
              </w:rPr>
              <w:t>ic</w:t>
            </w:r>
            <w:r>
              <w:rPr>
                <w:lang w:eastAsia="ja-JP"/>
              </w:rPr>
              <w:t>k</w:t>
            </w:r>
            <w:r w:rsidR="003A2EA0">
              <w:rPr>
                <w:lang w:eastAsia="ja-JP"/>
              </w:rPr>
              <w:t>ness</w:t>
            </w:r>
            <w:r>
              <w:rPr>
                <w:lang w:eastAsia="ja-JP"/>
              </w:rPr>
              <w:t>) critical current at 4.2 K and 1</w:t>
            </w:r>
            <w:r w:rsidR="00781B2E">
              <w:rPr>
                <w:lang w:eastAsia="ja-JP"/>
              </w:rPr>
              <w:t>6</w:t>
            </w:r>
            <w:r>
              <w:rPr>
                <w:lang w:eastAsia="ja-JP"/>
              </w:rPr>
              <w:t xml:space="preserve"> T</w:t>
            </w:r>
          </w:p>
        </w:tc>
        <w:tc>
          <w:tcPr>
            <w:tcW w:w="2475" w:type="dxa"/>
            <w:shd w:val="clear" w:color="auto" w:fill="auto"/>
            <w:noWrap/>
            <w:vAlign w:val="center"/>
          </w:tcPr>
          <w:p w14:paraId="7808CFA0" w14:textId="2C90D011" w:rsidR="0067210B" w:rsidRDefault="0067210B" w:rsidP="00D94216">
            <w:pPr>
              <w:pStyle w:val="Table1"/>
              <w:rPr>
                <w:lang w:eastAsia="ja-JP"/>
              </w:rPr>
            </w:pPr>
            <w:r>
              <w:rPr>
                <w:lang w:eastAsia="ja-JP"/>
              </w:rPr>
              <w:t xml:space="preserve">&gt; </w:t>
            </w:r>
            <w:r w:rsidR="00781B2E">
              <w:rPr>
                <w:lang w:eastAsia="ja-JP"/>
              </w:rPr>
              <w:t>5</w:t>
            </w:r>
            <w:r w:rsidR="000B2703">
              <w:rPr>
                <w:lang w:eastAsia="ja-JP"/>
              </w:rPr>
              <w:t>7</w:t>
            </w:r>
            <w:r>
              <w:rPr>
                <w:lang w:eastAsia="ja-JP"/>
              </w:rPr>
              <w:t xml:space="preserve">0 </w:t>
            </w:r>
          </w:p>
        </w:tc>
        <w:tc>
          <w:tcPr>
            <w:tcW w:w="1440" w:type="dxa"/>
            <w:vAlign w:val="center"/>
          </w:tcPr>
          <w:p w14:paraId="051235CD" w14:textId="77777777" w:rsidR="0067210B" w:rsidRDefault="0067210B" w:rsidP="00D94216">
            <w:pPr>
              <w:pStyle w:val="Table1"/>
              <w:rPr>
                <w:lang w:eastAsia="ja-JP"/>
              </w:rPr>
            </w:pPr>
            <w:r>
              <w:rPr>
                <w:lang w:eastAsia="ja-JP"/>
              </w:rPr>
              <w:t>A</w:t>
            </w:r>
          </w:p>
        </w:tc>
      </w:tr>
      <w:tr w:rsidR="0067210B" w:rsidRPr="001D7380" w14:paraId="7A3841D8" w14:textId="77777777" w:rsidTr="003A2EA0">
        <w:trPr>
          <w:trHeight w:val="359"/>
          <w:jc w:val="center"/>
        </w:trPr>
        <w:tc>
          <w:tcPr>
            <w:tcW w:w="3818" w:type="dxa"/>
            <w:shd w:val="clear" w:color="auto" w:fill="auto"/>
            <w:noWrap/>
            <w:vAlign w:val="center"/>
          </w:tcPr>
          <w:p w14:paraId="62C73DA3" w14:textId="69F64A5C" w:rsidR="0067210B" w:rsidRDefault="0067210B" w:rsidP="00D94216">
            <w:pPr>
              <w:pStyle w:val="Table1"/>
              <w:rPr>
                <w:lang w:eastAsia="ja-JP"/>
              </w:rPr>
            </w:pPr>
            <w:r>
              <w:rPr>
                <w:lang w:eastAsia="ja-JP"/>
              </w:rPr>
              <w:t>Rolled strand (0.</w:t>
            </w:r>
            <w:r w:rsidR="00781B2E">
              <w:rPr>
                <w:lang w:eastAsia="ja-JP"/>
              </w:rPr>
              <w:t>93</w:t>
            </w:r>
            <w:r>
              <w:rPr>
                <w:lang w:eastAsia="ja-JP"/>
              </w:rPr>
              <w:t xml:space="preserve">5 mm </w:t>
            </w:r>
            <w:r w:rsidR="003A2EA0">
              <w:rPr>
                <w:lang w:eastAsia="ja-JP"/>
              </w:rPr>
              <w:t>thickness</w:t>
            </w:r>
            <w:r>
              <w:rPr>
                <w:lang w:eastAsia="ja-JP"/>
              </w:rPr>
              <w:t>) critical current at 4.2 K and 15 T</w:t>
            </w:r>
          </w:p>
        </w:tc>
        <w:tc>
          <w:tcPr>
            <w:tcW w:w="2475" w:type="dxa"/>
            <w:shd w:val="clear" w:color="auto" w:fill="auto"/>
            <w:noWrap/>
            <w:vAlign w:val="center"/>
          </w:tcPr>
          <w:p w14:paraId="10948B7B" w14:textId="42BCE99F" w:rsidR="0067210B" w:rsidRDefault="0067210B" w:rsidP="00D94216">
            <w:pPr>
              <w:pStyle w:val="Table1"/>
              <w:rPr>
                <w:lang w:eastAsia="ja-JP"/>
              </w:rPr>
            </w:pPr>
            <w:r>
              <w:rPr>
                <w:lang w:eastAsia="ja-JP"/>
              </w:rPr>
              <w:t xml:space="preserve">&gt; </w:t>
            </w:r>
            <w:r w:rsidR="000B2703">
              <w:rPr>
                <w:lang w:eastAsia="ja-JP"/>
              </w:rPr>
              <w:t>72</w:t>
            </w:r>
            <w:r w:rsidR="00781B2E">
              <w:rPr>
                <w:lang w:eastAsia="ja-JP"/>
              </w:rPr>
              <w:t>0</w:t>
            </w:r>
            <w:r>
              <w:rPr>
                <w:lang w:eastAsia="ja-JP"/>
              </w:rPr>
              <w:t xml:space="preserve"> </w:t>
            </w:r>
          </w:p>
        </w:tc>
        <w:tc>
          <w:tcPr>
            <w:tcW w:w="1440" w:type="dxa"/>
            <w:vAlign w:val="center"/>
          </w:tcPr>
          <w:p w14:paraId="2DB7AB6D" w14:textId="77777777" w:rsidR="0067210B" w:rsidRDefault="0067210B" w:rsidP="00D94216">
            <w:pPr>
              <w:pStyle w:val="Table1"/>
              <w:rPr>
                <w:lang w:eastAsia="ja-JP"/>
              </w:rPr>
            </w:pPr>
            <w:r>
              <w:rPr>
                <w:lang w:eastAsia="ja-JP"/>
              </w:rPr>
              <w:t>A</w:t>
            </w:r>
          </w:p>
        </w:tc>
      </w:tr>
      <w:tr w:rsidR="0067210B" w:rsidRPr="001D7380" w14:paraId="18DAE5EE" w14:textId="77777777" w:rsidTr="003A2EA0">
        <w:trPr>
          <w:trHeight w:val="359"/>
          <w:jc w:val="center"/>
        </w:trPr>
        <w:tc>
          <w:tcPr>
            <w:tcW w:w="3818" w:type="dxa"/>
            <w:shd w:val="clear" w:color="auto" w:fill="auto"/>
            <w:noWrap/>
            <w:vAlign w:val="center"/>
          </w:tcPr>
          <w:p w14:paraId="5B430616" w14:textId="49A1989A" w:rsidR="0067210B" w:rsidRDefault="0067210B" w:rsidP="00D94216">
            <w:pPr>
              <w:pStyle w:val="Table1"/>
              <w:rPr>
                <w:lang w:eastAsia="ja-JP"/>
              </w:rPr>
            </w:pPr>
            <w:r>
              <w:rPr>
                <w:lang w:eastAsia="ja-JP"/>
              </w:rPr>
              <w:t>Rolled strand (0</w:t>
            </w:r>
            <w:r w:rsidR="00781B2E">
              <w:rPr>
                <w:lang w:eastAsia="ja-JP"/>
              </w:rPr>
              <w:t>.935</w:t>
            </w:r>
            <w:r>
              <w:rPr>
                <w:lang w:eastAsia="ja-JP"/>
              </w:rPr>
              <w:t xml:space="preserve"> mm </w:t>
            </w:r>
            <w:r w:rsidR="003A2EA0">
              <w:rPr>
                <w:lang w:eastAsia="ja-JP"/>
              </w:rPr>
              <w:t>thickness</w:t>
            </w:r>
            <w:r>
              <w:rPr>
                <w:lang w:eastAsia="ja-JP"/>
              </w:rPr>
              <w:t xml:space="preserve">)  </w:t>
            </w:r>
            <w:r w:rsidRPr="0033501B">
              <w:rPr>
                <w:i/>
                <w:lang w:eastAsia="ja-JP"/>
              </w:rPr>
              <w:t>RRR</w:t>
            </w:r>
            <w:r>
              <w:rPr>
                <w:lang w:eastAsia="ja-JP"/>
              </w:rPr>
              <w:t xml:space="preserve"> after reaction</w:t>
            </w:r>
          </w:p>
        </w:tc>
        <w:tc>
          <w:tcPr>
            <w:tcW w:w="2475" w:type="dxa"/>
            <w:shd w:val="clear" w:color="auto" w:fill="auto"/>
            <w:noWrap/>
            <w:vAlign w:val="center"/>
          </w:tcPr>
          <w:p w14:paraId="354D5555" w14:textId="77777777" w:rsidR="0067210B" w:rsidRDefault="0067210B" w:rsidP="00D94216">
            <w:pPr>
              <w:pStyle w:val="Table1"/>
              <w:rPr>
                <w:lang w:eastAsia="ja-JP"/>
              </w:rPr>
            </w:pPr>
            <w:r>
              <w:rPr>
                <w:lang w:eastAsia="ja-JP"/>
              </w:rPr>
              <w:t>&gt; 100</w:t>
            </w:r>
          </w:p>
        </w:tc>
        <w:tc>
          <w:tcPr>
            <w:tcW w:w="1440" w:type="dxa"/>
            <w:vAlign w:val="center"/>
          </w:tcPr>
          <w:p w14:paraId="72CF6176" w14:textId="77777777" w:rsidR="0067210B" w:rsidRDefault="0067210B" w:rsidP="00D94216">
            <w:pPr>
              <w:pStyle w:val="Table1"/>
              <w:rPr>
                <w:lang w:eastAsia="ja-JP"/>
              </w:rPr>
            </w:pPr>
          </w:p>
        </w:tc>
      </w:tr>
    </w:tbl>
    <w:p w14:paraId="20B38AE5" w14:textId="77777777" w:rsidR="0067210B" w:rsidRPr="00CD5FE6" w:rsidRDefault="0067210B" w:rsidP="0067210B">
      <w:pPr>
        <w:ind w:left="630" w:right="540" w:hanging="90"/>
      </w:pPr>
    </w:p>
    <w:p w14:paraId="6B1B0F56" w14:textId="77777777" w:rsidR="00CD12F2" w:rsidRDefault="00CD12F2"/>
    <w:sectPr w:rsidR="00CD12F2" w:rsidSect="00D94216">
      <w:pgSz w:w="12240" w:h="15840" w:code="1"/>
      <w:pgMar w:top="950" w:right="1800" w:bottom="1152" w:left="1800" w:header="490" w:footer="216" w:gutter="0"/>
      <w:pgBorders>
        <w:top w:val="single" w:sz="8" w:space="1" w:color="auto"/>
        <w:left w:val="single" w:sz="8" w:space="31" w:color="auto"/>
        <w:bottom w:val="single" w:sz="8" w:space="31" w:color="auto"/>
        <w:right w:val="single" w:sz="8" w:space="31" w:color="auto"/>
      </w:pgBorders>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Tahoma">
    <w:panose1 w:val="020B0604030504040204"/>
    <w:charset w:val="00"/>
    <w:family w:val="swiss"/>
    <w:pitch w:val="variable"/>
    <w:sig w:usb0="E1002EFF" w:usb1="C000605B" w:usb2="00000029" w:usb3="00000000" w:csb0="0001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381C2B"/>
    <w:multiLevelType w:val="hybridMultilevel"/>
    <w:tmpl w:val="D124E5A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220AFD"/>
    <w:multiLevelType w:val="multilevel"/>
    <w:tmpl w:val="B4DAB54A"/>
    <w:lvl w:ilvl="0">
      <w:start w:val="1"/>
      <w:numFmt w:val="decimal"/>
      <w:pStyle w:val="Heading1"/>
      <w:lvlText w:val="%1"/>
      <w:lvlJc w:val="left"/>
      <w:pPr>
        <w:ind w:left="61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17C93D52"/>
    <w:multiLevelType w:val="multilevel"/>
    <w:tmpl w:val="CFFEC39A"/>
    <w:lvl w:ilvl="0">
      <w:start w:val="1"/>
      <w:numFmt w:val="decimal"/>
      <w:lvlText w:val="%1"/>
      <w:lvlJc w:val="left"/>
      <w:pPr>
        <w:ind w:left="61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3548592E"/>
    <w:multiLevelType w:val="multilevel"/>
    <w:tmpl w:val="52EC76EE"/>
    <w:lvl w:ilvl="0">
      <w:start w:val="1"/>
      <w:numFmt w:val="upperLetter"/>
      <w:lvlText w:val="%1"/>
      <w:lvlJc w:val="left"/>
      <w:pPr>
        <w:ind w:left="61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4" w15:restartNumberingAfterBreak="0">
    <w:nsid w:val="3F987DFD"/>
    <w:multiLevelType w:val="hybridMultilevel"/>
    <w:tmpl w:val="36DC2244"/>
    <w:lvl w:ilvl="0" w:tplc="EEEEC4DE">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1D25CE1"/>
    <w:multiLevelType w:val="multilevel"/>
    <w:tmpl w:val="93909DC2"/>
    <w:lvl w:ilvl="0">
      <w:start w:val="1"/>
      <w:numFmt w:val="decimal"/>
      <w:lvlText w:val="%1"/>
      <w:lvlJc w:val="left"/>
      <w:pPr>
        <w:ind w:left="61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50E074CD"/>
    <w:multiLevelType w:val="hybridMultilevel"/>
    <w:tmpl w:val="484AACA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6200A2C"/>
    <w:multiLevelType w:val="hybridMultilevel"/>
    <w:tmpl w:val="B1720322"/>
    <w:lvl w:ilvl="0" w:tplc="F4ECAE58">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3"/>
  </w:num>
  <w:num w:numId="4">
    <w:abstractNumId w:val="7"/>
  </w:num>
  <w:num w:numId="5">
    <w:abstractNumId w:val="1"/>
  </w:num>
  <w:num w:numId="6">
    <w:abstractNumId w:val="5"/>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210B"/>
    <w:rsid w:val="000475D9"/>
    <w:rsid w:val="000B2703"/>
    <w:rsid w:val="001026E8"/>
    <w:rsid w:val="0015763C"/>
    <w:rsid w:val="001A6AAD"/>
    <w:rsid w:val="001B3399"/>
    <w:rsid w:val="001D0DA4"/>
    <w:rsid w:val="00282962"/>
    <w:rsid w:val="002B1869"/>
    <w:rsid w:val="002C26A4"/>
    <w:rsid w:val="002E6BB8"/>
    <w:rsid w:val="00327ECF"/>
    <w:rsid w:val="00372272"/>
    <w:rsid w:val="003A2EA0"/>
    <w:rsid w:val="003F4971"/>
    <w:rsid w:val="00405E85"/>
    <w:rsid w:val="004352F7"/>
    <w:rsid w:val="004A4A2A"/>
    <w:rsid w:val="004C12D2"/>
    <w:rsid w:val="005179A2"/>
    <w:rsid w:val="00547710"/>
    <w:rsid w:val="00566424"/>
    <w:rsid w:val="005B3D1B"/>
    <w:rsid w:val="0060638D"/>
    <w:rsid w:val="006069A6"/>
    <w:rsid w:val="006077F8"/>
    <w:rsid w:val="00611FF7"/>
    <w:rsid w:val="00620251"/>
    <w:rsid w:val="006315EE"/>
    <w:rsid w:val="00636D5C"/>
    <w:rsid w:val="006515B6"/>
    <w:rsid w:val="0067210B"/>
    <w:rsid w:val="0068040C"/>
    <w:rsid w:val="006C7C1B"/>
    <w:rsid w:val="006D36F9"/>
    <w:rsid w:val="00703068"/>
    <w:rsid w:val="00781B2E"/>
    <w:rsid w:val="007D75D9"/>
    <w:rsid w:val="007E5497"/>
    <w:rsid w:val="00895B0C"/>
    <w:rsid w:val="008F4DC5"/>
    <w:rsid w:val="00900154"/>
    <w:rsid w:val="00921605"/>
    <w:rsid w:val="00930DA8"/>
    <w:rsid w:val="00973114"/>
    <w:rsid w:val="009935F4"/>
    <w:rsid w:val="009A2714"/>
    <w:rsid w:val="009C65E6"/>
    <w:rsid w:val="00A33591"/>
    <w:rsid w:val="00A47FEA"/>
    <w:rsid w:val="00AB7164"/>
    <w:rsid w:val="00AD6504"/>
    <w:rsid w:val="00AE4963"/>
    <w:rsid w:val="00AF1599"/>
    <w:rsid w:val="00B11293"/>
    <w:rsid w:val="00B16531"/>
    <w:rsid w:val="00B16CA9"/>
    <w:rsid w:val="00B40723"/>
    <w:rsid w:val="00B61DE0"/>
    <w:rsid w:val="00B94FBE"/>
    <w:rsid w:val="00BD05DB"/>
    <w:rsid w:val="00C13892"/>
    <w:rsid w:val="00C735D1"/>
    <w:rsid w:val="00C75BD8"/>
    <w:rsid w:val="00CA717A"/>
    <w:rsid w:val="00CC52C0"/>
    <w:rsid w:val="00CD12F2"/>
    <w:rsid w:val="00D31A46"/>
    <w:rsid w:val="00D32B54"/>
    <w:rsid w:val="00D94216"/>
    <w:rsid w:val="00DB1CC4"/>
    <w:rsid w:val="00E1664C"/>
    <w:rsid w:val="00E36B59"/>
    <w:rsid w:val="00E573F2"/>
    <w:rsid w:val="00E62098"/>
    <w:rsid w:val="00E95D64"/>
    <w:rsid w:val="00F232E2"/>
    <w:rsid w:val="00F338B5"/>
    <w:rsid w:val="00F373BE"/>
    <w:rsid w:val="00F46D98"/>
    <w:rsid w:val="00F769E5"/>
    <w:rsid w:val="00FF0C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0C447F4A"/>
  <w15:chartTrackingRefBased/>
  <w15:docId w15:val="{7B9B4418-8400-4542-90D5-F3D2340BF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210B"/>
    <w:pPr>
      <w:spacing w:after="120" w:line="240" w:lineRule="auto"/>
      <w:jc w:val="both"/>
    </w:pPr>
    <w:rPr>
      <w:rFonts w:ascii="Times New Roman" w:eastAsia="Times New Roman" w:hAnsi="Times New Roman" w:cs="Times New Roman"/>
    </w:rPr>
  </w:style>
  <w:style w:type="paragraph" w:styleId="Heading1">
    <w:name w:val="heading 1"/>
    <w:basedOn w:val="Normal"/>
    <w:next w:val="Normal"/>
    <w:link w:val="Heading1Char"/>
    <w:autoRedefine/>
    <w:uiPriority w:val="9"/>
    <w:qFormat/>
    <w:rsid w:val="0067210B"/>
    <w:pPr>
      <w:keepNext/>
      <w:keepLines/>
      <w:numPr>
        <w:numId w:val="5"/>
      </w:numPr>
      <w:spacing w:before="480" w:after="240"/>
      <w:jc w:val="left"/>
      <w:outlineLvl w:val="0"/>
    </w:pPr>
    <w:rPr>
      <w:rFonts w:eastAsiaTheme="majorEastAsia"/>
      <w:b/>
      <w:bCs/>
      <w:caps/>
      <w:sz w:val="24"/>
      <w:szCs w:val="28"/>
    </w:rPr>
  </w:style>
  <w:style w:type="paragraph" w:styleId="Heading2">
    <w:name w:val="heading 2"/>
    <w:basedOn w:val="Normal"/>
    <w:next w:val="Normal"/>
    <w:link w:val="Heading2Char"/>
    <w:autoRedefine/>
    <w:uiPriority w:val="9"/>
    <w:unhideWhenUsed/>
    <w:qFormat/>
    <w:rsid w:val="0067210B"/>
    <w:pPr>
      <w:numPr>
        <w:ilvl w:val="1"/>
        <w:numId w:val="5"/>
      </w:numPr>
      <w:spacing w:before="200"/>
      <w:outlineLvl w:val="1"/>
    </w:pPr>
    <w:rPr>
      <w:rFonts w:eastAsiaTheme="majorEastAsia"/>
      <w:sz w:val="24"/>
    </w:rPr>
  </w:style>
  <w:style w:type="paragraph" w:styleId="Heading3">
    <w:name w:val="heading 3"/>
    <w:basedOn w:val="Normal"/>
    <w:next w:val="Normal"/>
    <w:link w:val="Heading3Char"/>
    <w:autoRedefine/>
    <w:uiPriority w:val="9"/>
    <w:unhideWhenUsed/>
    <w:qFormat/>
    <w:rsid w:val="00900154"/>
    <w:pPr>
      <w:numPr>
        <w:ilvl w:val="2"/>
        <w:numId w:val="5"/>
      </w:numPr>
      <w:spacing w:before="120"/>
      <w:outlineLvl w:val="2"/>
    </w:pPr>
    <w:rPr>
      <w:rFonts w:eastAsiaTheme="majorEastAsia" w:cstheme="majorBidi"/>
      <w:szCs w:val="24"/>
    </w:rPr>
  </w:style>
  <w:style w:type="paragraph" w:styleId="Heading4">
    <w:name w:val="heading 4"/>
    <w:basedOn w:val="Normal"/>
    <w:next w:val="Normal"/>
    <w:link w:val="Heading4Char"/>
    <w:uiPriority w:val="9"/>
    <w:unhideWhenUsed/>
    <w:qFormat/>
    <w:rsid w:val="0067210B"/>
    <w:pPr>
      <w:keepNext/>
      <w:keepLines/>
      <w:numPr>
        <w:ilvl w:val="3"/>
        <w:numId w:val="3"/>
      </w:numPr>
      <w:spacing w:before="200" w:after="0"/>
      <w:outlineLvl w:val="3"/>
    </w:pPr>
    <w:rPr>
      <w:rFonts w:asciiTheme="majorHAnsi" w:eastAsiaTheme="majorEastAsia" w:hAnsiTheme="majorHAnsi" w:cstheme="majorBidi"/>
      <w:b/>
      <w:bCs/>
      <w:i/>
      <w:iCs/>
      <w:color w:val="4472C4" w:themeColor="accent1"/>
    </w:rPr>
  </w:style>
  <w:style w:type="paragraph" w:styleId="Heading5">
    <w:name w:val="heading 5"/>
    <w:basedOn w:val="Normal"/>
    <w:next w:val="Normal"/>
    <w:link w:val="Heading5Char"/>
    <w:uiPriority w:val="9"/>
    <w:semiHidden/>
    <w:unhideWhenUsed/>
    <w:qFormat/>
    <w:rsid w:val="0067210B"/>
    <w:pPr>
      <w:keepNext/>
      <w:keepLines/>
      <w:numPr>
        <w:ilvl w:val="4"/>
        <w:numId w:val="3"/>
      </w:numPr>
      <w:spacing w:before="200" w:after="0"/>
      <w:outlineLvl w:val="4"/>
    </w:pPr>
    <w:rPr>
      <w:rFonts w:asciiTheme="majorHAnsi" w:eastAsiaTheme="majorEastAsia" w:hAnsiTheme="majorHAnsi" w:cstheme="majorBidi"/>
      <w:color w:val="1F3763" w:themeColor="accent1" w:themeShade="7F"/>
    </w:rPr>
  </w:style>
  <w:style w:type="paragraph" w:styleId="Heading6">
    <w:name w:val="heading 6"/>
    <w:basedOn w:val="Normal"/>
    <w:next w:val="Normal"/>
    <w:link w:val="Heading6Char"/>
    <w:uiPriority w:val="9"/>
    <w:semiHidden/>
    <w:unhideWhenUsed/>
    <w:qFormat/>
    <w:rsid w:val="0067210B"/>
    <w:pPr>
      <w:keepNext/>
      <w:keepLines/>
      <w:numPr>
        <w:ilvl w:val="5"/>
        <w:numId w:val="3"/>
      </w:numPr>
      <w:spacing w:before="200" w:after="0"/>
      <w:outlineLvl w:val="5"/>
    </w:pPr>
    <w:rPr>
      <w:rFonts w:asciiTheme="majorHAnsi" w:eastAsiaTheme="majorEastAsia" w:hAnsiTheme="majorHAnsi" w:cstheme="majorBidi"/>
      <w:i/>
      <w:iCs/>
      <w:color w:val="1F3763" w:themeColor="accent1" w:themeShade="7F"/>
    </w:rPr>
  </w:style>
  <w:style w:type="paragraph" w:styleId="Heading7">
    <w:name w:val="heading 7"/>
    <w:basedOn w:val="Normal"/>
    <w:next w:val="Normal"/>
    <w:link w:val="Heading7Char"/>
    <w:uiPriority w:val="9"/>
    <w:semiHidden/>
    <w:unhideWhenUsed/>
    <w:qFormat/>
    <w:rsid w:val="0067210B"/>
    <w:pPr>
      <w:keepNext/>
      <w:keepLines/>
      <w:numPr>
        <w:ilvl w:val="6"/>
        <w:numId w:val="3"/>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7210B"/>
    <w:pPr>
      <w:keepNext/>
      <w:keepLines/>
      <w:numPr>
        <w:ilvl w:val="7"/>
        <w:numId w:val="3"/>
      </w:numPr>
      <w:spacing w:before="200" w:after="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67210B"/>
    <w:pPr>
      <w:keepNext/>
      <w:keepLines/>
      <w:numPr>
        <w:ilvl w:val="8"/>
        <w:numId w:val="3"/>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link w:val="AuthorChar"/>
    <w:autoRedefine/>
    <w:qFormat/>
    <w:rsid w:val="006077F8"/>
    <w:pPr>
      <w:jc w:val="right"/>
    </w:pPr>
    <w:rPr>
      <w:i/>
    </w:rPr>
  </w:style>
  <w:style w:type="character" w:customStyle="1" w:styleId="AuthorChar">
    <w:name w:val="Author Char"/>
    <w:basedOn w:val="DefaultParagraphFont"/>
    <w:link w:val="Author"/>
    <w:rsid w:val="006077F8"/>
    <w:rPr>
      <w:i/>
    </w:rPr>
  </w:style>
  <w:style w:type="paragraph" w:customStyle="1" w:styleId="Table">
    <w:name w:val="Table"/>
    <w:basedOn w:val="Normal"/>
    <w:link w:val="TableChar"/>
    <w:autoRedefine/>
    <w:qFormat/>
    <w:rsid w:val="006077F8"/>
    <w:pPr>
      <w:spacing w:before="60" w:after="60" w:line="252" w:lineRule="auto"/>
      <w:contextualSpacing/>
    </w:pPr>
  </w:style>
  <w:style w:type="character" w:customStyle="1" w:styleId="TableChar">
    <w:name w:val="Table Char"/>
    <w:basedOn w:val="DefaultParagraphFont"/>
    <w:link w:val="Table"/>
    <w:rsid w:val="006077F8"/>
  </w:style>
  <w:style w:type="paragraph" w:customStyle="1" w:styleId="References">
    <w:name w:val="References"/>
    <w:basedOn w:val="Normal"/>
    <w:link w:val="ReferencesChar"/>
    <w:qFormat/>
    <w:rsid w:val="00E62098"/>
    <w:pPr>
      <w:spacing w:after="0"/>
      <w:ind w:left="720" w:hanging="720"/>
    </w:pPr>
  </w:style>
  <w:style w:type="character" w:customStyle="1" w:styleId="ReferencesChar">
    <w:name w:val="References Char"/>
    <w:basedOn w:val="DefaultParagraphFont"/>
    <w:link w:val="References"/>
    <w:rsid w:val="00E62098"/>
  </w:style>
  <w:style w:type="character" w:customStyle="1" w:styleId="Heading1Char">
    <w:name w:val="Heading 1 Char"/>
    <w:basedOn w:val="DefaultParagraphFont"/>
    <w:link w:val="Heading1"/>
    <w:uiPriority w:val="9"/>
    <w:rsid w:val="0067210B"/>
    <w:rPr>
      <w:rFonts w:ascii="Times New Roman" w:eastAsiaTheme="majorEastAsia" w:hAnsi="Times New Roman" w:cs="Times New Roman"/>
      <w:b/>
      <w:bCs/>
      <w:caps/>
      <w:sz w:val="24"/>
      <w:szCs w:val="28"/>
    </w:rPr>
  </w:style>
  <w:style w:type="character" w:customStyle="1" w:styleId="Heading2Char">
    <w:name w:val="Heading 2 Char"/>
    <w:basedOn w:val="DefaultParagraphFont"/>
    <w:link w:val="Heading2"/>
    <w:uiPriority w:val="9"/>
    <w:rsid w:val="0067210B"/>
    <w:rPr>
      <w:rFonts w:ascii="Times New Roman" w:eastAsiaTheme="majorEastAsia" w:hAnsi="Times New Roman" w:cs="Times New Roman"/>
      <w:sz w:val="24"/>
    </w:rPr>
  </w:style>
  <w:style w:type="character" w:customStyle="1" w:styleId="Heading3Char">
    <w:name w:val="Heading 3 Char"/>
    <w:basedOn w:val="DefaultParagraphFont"/>
    <w:link w:val="Heading3"/>
    <w:uiPriority w:val="9"/>
    <w:rsid w:val="00900154"/>
    <w:rPr>
      <w:rFonts w:ascii="Times New Roman" w:eastAsiaTheme="majorEastAsia" w:hAnsi="Times New Roman" w:cstheme="majorBidi"/>
      <w:szCs w:val="24"/>
    </w:rPr>
  </w:style>
  <w:style w:type="character" w:customStyle="1" w:styleId="Heading4Char">
    <w:name w:val="Heading 4 Char"/>
    <w:basedOn w:val="DefaultParagraphFont"/>
    <w:link w:val="Heading4"/>
    <w:uiPriority w:val="9"/>
    <w:rsid w:val="0067210B"/>
    <w:rPr>
      <w:rFonts w:asciiTheme="majorHAnsi" w:eastAsiaTheme="majorEastAsia" w:hAnsiTheme="majorHAnsi" w:cstheme="majorBidi"/>
      <w:b/>
      <w:bCs/>
      <w:i/>
      <w:iCs/>
      <w:color w:val="4472C4" w:themeColor="accent1"/>
    </w:rPr>
  </w:style>
  <w:style w:type="character" w:customStyle="1" w:styleId="Heading5Char">
    <w:name w:val="Heading 5 Char"/>
    <w:basedOn w:val="DefaultParagraphFont"/>
    <w:link w:val="Heading5"/>
    <w:uiPriority w:val="9"/>
    <w:semiHidden/>
    <w:rsid w:val="0067210B"/>
    <w:rPr>
      <w:rFonts w:asciiTheme="majorHAnsi" w:eastAsiaTheme="majorEastAsia" w:hAnsiTheme="majorHAnsi" w:cstheme="majorBidi"/>
      <w:color w:val="1F3763" w:themeColor="accent1" w:themeShade="7F"/>
    </w:rPr>
  </w:style>
  <w:style w:type="character" w:customStyle="1" w:styleId="Heading6Char">
    <w:name w:val="Heading 6 Char"/>
    <w:basedOn w:val="DefaultParagraphFont"/>
    <w:link w:val="Heading6"/>
    <w:uiPriority w:val="9"/>
    <w:semiHidden/>
    <w:rsid w:val="0067210B"/>
    <w:rPr>
      <w:rFonts w:asciiTheme="majorHAnsi" w:eastAsiaTheme="majorEastAsia" w:hAnsiTheme="majorHAnsi" w:cstheme="majorBidi"/>
      <w:i/>
      <w:iCs/>
      <w:color w:val="1F3763" w:themeColor="accent1" w:themeShade="7F"/>
    </w:rPr>
  </w:style>
  <w:style w:type="character" w:customStyle="1" w:styleId="Heading7Char">
    <w:name w:val="Heading 7 Char"/>
    <w:basedOn w:val="DefaultParagraphFont"/>
    <w:link w:val="Heading7"/>
    <w:uiPriority w:val="9"/>
    <w:semiHidden/>
    <w:rsid w:val="0067210B"/>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7210B"/>
    <w:rPr>
      <w:rFonts w:asciiTheme="majorHAnsi" w:eastAsiaTheme="majorEastAsia" w:hAnsiTheme="majorHAnsi" w:cstheme="majorBidi"/>
      <w:color w:val="404040" w:themeColor="text1" w:themeTint="BF"/>
      <w:sz w:val="20"/>
    </w:rPr>
  </w:style>
  <w:style w:type="character" w:customStyle="1" w:styleId="Heading9Char">
    <w:name w:val="Heading 9 Char"/>
    <w:basedOn w:val="DefaultParagraphFont"/>
    <w:link w:val="Heading9"/>
    <w:uiPriority w:val="9"/>
    <w:semiHidden/>
    <w:rsid w:val="0067210B"/>
    <w:rPr>
      <w:rFonts w:asciiTheme="majorHAnsi" w:eastAsiaTheme="majorEastAsia" w:hAnsiTheme="majorHAnsi" w:cstheme="majorBidi"/>
      <w:i/>
      <w:iCs/>
      <w:color w:val="404040" w:themeColor="text1" w:themeTint="BF"/>
      <w:sz w:val="20"/>
    </w:rPr>
  </w:style>
  <w:style w:type="paragraph" w:styleId="Header">
    <w:name w:val="header"/>
    <w:basedOn w:val="Normal"/>
    <w:link w:val="HeaderChar"/>
    <w:rsid w:val="0067210B"/>
    <w:pPr>
      <w:tabs>
        <w:tab w:val="center" w:pos="4320"/>
        <w:tab w:val="right" w:pos="8640"/>
      </w:tabs>
    </w:pPr>
  </w:style>
  <w:style w:type="character" w:customStyle="1" w:styleId="HeaderChar">
    <w:name w:val="Header Char"/>
    <w:basedOn w:val="DefaultParagraphFont"/>
    <w:link w:val="Header"/>
    <w:rsid w:val="0067210B"/>
    <w:rPr>
      <w:rFonts w:ascii="Times New Roman" w:eastAsia="Times New Roman" w:hAnsi="Times New Roman" w:cs="Times New Roman"/>
    </w:rPr>
  </w:style>
  <w:style w:type="paragraph" w:styleId="Footer">
    <w:name w:val="footer"/>
    <w:basedOn w:val="Normal"/>
    <w:link w:val="FooterChar"/>
    <w:rsid w:val="0067210B"/>
    <w:pPr>
      <w:tabs>
        <w:tab w:val="center" w:pos="4320"/>
        <w:tab w:val="right" w:pos="8640"/>
      </w:tabs>
    </w:pPr>
  </w:style>
  <w:style w:type="character" w:customStyle="1" w:styleId="FooterChar">
    <w:name w:val="Footer Char"/>
    <w:basedOn w:val="DefaultParagraphFont"/>
    <w:link w:val="Footer"/>
    <w:rsid w:val="0067210B"/>
    <w:rPr>
      <w:rFonts w:ascii="Times New Roman" w:eastAsia="Times New Roman" w:hAnsi="Times New Roman" w:cs="Times New Roman"/>
    </w:rPr>
  </w:style>
  <w:style w:type="character" w:styleId="PageNumber">
    <w:name w:val="page number"/>
    <w:basedOn w:val="DefaultParagraphFont"/>
    <w:rsid w:val="0067210B"/>
  </w:style>
  <w:style w:type="paragraph" w:styleId="BalloonText">
    <w:name w:val="Balloon Text"/>
    <w:basedOn w:val="Normal"/>
    <w:link w:val="BalloonTextChar"/>
    <w:semiHidden/>
    <w:rsid w:val="0067210B"/>
    <w:rPr>
      <w:rFonts w:ascii="Tahoma" w:hAnsi="Tahoma" w:cs="Tahoma"/>
      <w:sz w:val="16"/>
      <w:szCs w:val="16"/>
    </w:rPr>
  </w:style>
  <w:style w:type="character" w:customStyle="1" w:styleId="BalloonTextChar">
    <w:name w:val="Balloon Text Char"/>
    <w:basedOn w:val="DefaultParagraphFont"/>
    <w:link w:val="BalloonText"/>
    <w:semiHidden/>
    <w:rsid w:val="0067210B"/>
    <w:rPr>
      <w:rFonts w:ascii="Tahoma" w:eastAsia="Times New Roman" w:hAnsi="Tahoma" w:cs="Tahoma"/>
      <w:sz w:val="16"/>
      <w:szCs w:val="16"/>
    </w:rPr>
  </w:style>
  <w:style w:type="character" w:styleId="CommentReference">
    <w:name w:val="annotation reference"/>
    <w:basedOn w:val="DefaultParagraphFont"/>
    <w:semiHidden/>
    <w:rsid w:val="0067210B"/>
    <w:rPr>
      <w:sz w:val="16"/>
      <w:szCs w:val="16"/>
    </w:rPr>
  </w:style>
  <w:style w:type="paragraph" w:styleId="CommentText">
    <w:name w:val="annotation text"/>
    <w:basedOn w:val="Normal"/>
    <w:link w:val="CommentTextChar"/>
    <w:semiHidden/>
    <w:rsid w:val="0067210B"/>
    <w:rPr>
      <w:sz w:val="20"/>
    </w:rPr>
  </w:style>
  <w:style w:type="character" w:customStyle="1" w:styleId="CommentTextChar">
    <w:name w:val="Comment Text Char"/>
    <w:basedOn w:val="DefaultParagraphFont"/>
    <w:link w:val="CommentText"/>
    <w:semiHidden/>
    <w:rsid w:val="0067210B"/>
    <w:rPr>
      <w:rFonts w:ascii="Times New Roman" w:eastAsia="Times New Roman" w:hAnsi="Times New Roman" w:cs="Times New Roman"/>
      <w:sz w:val="20"/>
    </w:rPr>
  </w:style>
  <w:style w:type="paragraph" w:styleId="CommentSubject">
    <w:name w:val="annotation subject"/>
    <w:basedOn w:val="CommentText"/>
    <w:next w:val="CommentText"/>
    <w:link w:val="CommentSubjectChar"/>
    <w:semiHidden/>
    <w:rsid w:val="0067210B"/>
    <w:rPr>
      <w:b/>
      <w:bCs/>
    </w:rPr>
  </w:style>
  <w:style w:type="character" w:customStyle="1" w:styleId="CommentSubjectChar">
    <w:name w:val="Comment Subject Char"/>
    <w:basedOn w:val="CommentTextChar"/>
    <w:link w:val="CommentSubject"/>
    <w:semiHidden/>
    <w:rsid w:val="0067210B"/>
    <w:rPr>
      <w:rFonts w:ascii="Times New Roman" w:eastAsia="Times New Roman" w:hAnsi="Times New Roman" w:cs="Times New Roman"/>
      <w:b/>
      <w:bCs/>
      <w:sz w:val="20"/>
    </w:rPr>
  </w:style>
  <w:style w:type="paragraph" w:styleId="ListParagraph">
    <w:name w:val="List Paragraph"/>
    <w:basedOn w:val="Normal"/>
    <w:autoRedefine/>
    <w:uiPriority w:val="34"/>
    <w:qFormat/>
    <w:rsid w:val="0067210B"/>
    <w:pPr>
      <w:numPr>
        <w:numId w:val="2"/>
      </w:numPr>
      <w:outlineLvl w:val="1"/>
    </w:pPr>
  </w:style>
  <w:style w:type="paragraph" w:styleId="NoSpacing">
    <w:name w:val="No Spacing"/>
    <w:uiPriority w:val="1"/>
    <w:qFormat/>
    <w:rsid w:val="0067210B"/>
    <w:pPr>
      <w:spacing w:after="0" w:line="240" w:lineRule="auto"/>
    </w:pPr>
    <w:rPr>
      <w:rFonts w:ascii="New York" w:eastAsia="Times New Roman" w:hAnsi="New York" w:cs="Times New Roman"/>
      <w:sz w:val="24"/>
      <w:szCs w:val="20"/>
    </w:rPr>
  </w:style>
  <w:style w:type="paragraph" w:customStyle="1" w:styleId="StyleannexGauche0cmPremireligne0cm">
    <w:name w:val="Style annex + Gauche :  0 cm Première ligne : 0 cm"/>
    <w:basedOn w:val="Heading9"/>
    <w:autoRedefine/>
    <w:rsid w:val="0067210B"/>
    <w:pPr>
      <w:keepNext w:val="0"/>
      <w:keepLines w:val="0"/>
      <w:pageBreakBefore/>
      <w:tabs>
        <w:tab w:val="left" w:pos="567"/>
        <w:tab w:val="left" w:pos="2430"/>
      </w:tabs>
      <w:suppressAutoHyphens/>
      <w:spacing w:before="60" w:after="60" w:line="320" w:lineRule="exact"/>
      <w:ind w:left="360"/>
    </w:pPr>
    <w:rPr>
      <w:rFonts w:ascii="Times New Roman" w:eastAsia="Times New Roman" w:hAnsi="Times New Roman" w:cs="Times New Roman"/>
      <w:b/>
      <w:bCs/>
      <w:i w:val="0"/>
      <w:iCs w:val="0"/>
      <w:color w:val="auto"/>
      <w:sz w:val="28"/>
      <w:lang w:eastAsia="ar-SA"/>
    </w:rPr>
  </w:style>
  <w:style w:type="table" w:styleId="TableGrid">
    <w:name w:val="Table Grid"/>
    <w:basedOn w:val="TableNormal"/>
    <w:uiPriority w:val="59"/>
    <w:rsid w:val="0067210B"/>
    <w:pPr>
      <w:spacing w:after="0" w:line="240" w:lineRule="auto"/>
    </w:pPr>
    <w:rPr>
      <w:rFonts w:ascii="New York" w:eastAsia="Times New Roman" w:hAnsi="New York"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67210B"/>
    <w:pPr>
      <w:spacing w:after="200"/>
    </w:pPr>
    <w:rPr>
      <w:i/>
      <w:iCs/>
      <w:color w:val="44546A" w:themeColor="text2"/>
      <w:sz w:val="18"/>
      <w:szCs w:val="18"/>
    </w:rPr>
  </w:style>
  <w:style w:type="paragraph" w:styleId="Revision">
    <w:name w:val="Revision"/>
    <w:hidden/>
    <w:uiPriority w:val="99"/>
    <w:semiHidden/>
    <w:rsid w:val="0067210B"/>
    <w:pPr>
      <w:spacing w:after="0" w:line="240" w:lineRule="auto"/>
    </w:pPr>
    <w:rPr>
      <w:rFonts w:ascii="New York" w:eastAsia="Times New Roman" w:hAnsi="New York" w:cs="Times New Roman"/>
      <w:sz w:val="24"/>
      <w:szCs w:val="20"/>
    </w:rPr>
  </w:style>
  <w:style w:type="paragraph" w:customStyle="1" w:styleId="Metadata1">
    <w:name w:val="Metadata1"/>
    <w:link w:val="Metadata1Char"/>
    <w:autoRedefine/>
    <w:qFormat/>
    <w:rsid w:val="0067210B"/>
    <w:pPr>
      <w:keepNext/>
      <w:tabs>
        <w:tab w:val="left" w:pos="1134"/>
        <w:tab w:val="left" w:pos="5103"/>
        <w:tab w:val="left" w:pos="6521"/>
      </w:tabs>
      <w:spacing w:after="0" w:line="480" w:lineRule="auto"/>
      <w:jc w:val="both"/>
    </w:pPr>
    <w:rPr>
      <w:rFonts w:ascii="Times" w:eastAsia="Times New Roman" w:hAnsi="Times" w:cs="Times New Roman"/>
      <w:sz w:val="24"/>
      <w:szCs w:val="20"/>
    </w:rPr>
  </w:style>
  <w:style w:type="character" w:customStyle="1" w:styleId="Metadata1Char">
    <w:name w:val="Metadata1 Char"/>
    <w:basedOn w:val="DefaultParagraphFont"/>
    <w:link w:val="Metadata1"/>
    <w:rsid w:val="0067210B"/>
    <w:rPr>
      <w:rFonts w:ascii="Times" w:eastAsia="Times New Roman" w:hAnsi="Times" w:cs="Times New Roman"/>
      <w:sz w:val="24"/>
      <w:szCs w:val="20"/>
    </w:rPr>
  </w:style>
  <w:style w:type="paragraph" w:customStyle="1" w:styleId="MetadataTable1">
    <w:name w:val="Metadata Table 1"/>
    <w:link w:val="MetadataTable1Char"/>
    <w:autoRedefine/>
    <w:qFormat/>
    <w:rsid w:val="0067210B"/>
    <w:pPr>
      <w:spacing w:after="0" w:line="240" w:lineRule="auto"/>
    </w:pPr>
    <w:rPr>
      <w:rFonts w:ascii="Times New Roman" w:eastAsia="Times New Roman" w:hAnsi="Times New Roman" w:cs="Times New Roman"/>
      <w:sz w:val="24"/>
      <w:szCs w:val="20"/>
    </w:rPr>
  </w:style>
  <w:style w:type="character" w:customStyle="1" w:styleId="MetadataTable1Char">
    <w:name w:val="Metadata Table 1 Char"/>
    <w:basedOn w:val="DefaultParagraphFont"/>
    <w:link w:val="MetadataTable1"/>
    <w:rsid w:val="0067210B"/>
    <w:rPr>
      <w:rFonts w:ascii="Times New Roman" w:eastAsia="Times New Roman" w:hAnsi="Times New Roman" w:cs="Times New Roman"/>
      <w:sz w:val="24"/>
      <w:szCs w:val="20"/>
    </w:rPr>
  </w:style>
  <w:style w:type="paragraph" w:customStyle="1" w:styleId="Table1">
    <w:name w:val="Table1"/>
    <w:link w:val="Table1Char"/>
    <w:autoRedefine/>
    <w:qFormat/>
    <w:rsid w:val="0067210B"/>
    <w:pPr>
      <w:spacing w:before="60" w:after="60" w:line="240" w:lineRule="auto"/>
    </w:pPr>
    <w:rPr>
      <w:rFonts w:ascii="New York" w:eastAsia="Times New Roman" w:hAnsi="New York" w:cs="Times New Roman"/>
      <w:sz w:val="24"/>
      <w:szCs w:val="20"/>
    </w:rPr>
  </w:style>
  <w:style w:type="character" w:customStyle="1" w:styleId="Table1Char">
    <w:name w:val="Table1 Char"/>
    <w:basedOn w:val="DefaultParagraphFont"/>
    <w:link w:val="Table1"/>
    <w:rsid w:val="0067210B"/>
    <w:rPr>
      <w:rFonts w:ascii="New York" w:eastAsia="Times New Roman" w:hAnsi="New York" w:cs="Times New Roman"/>
      <w:sz w:val="24"/>
      <w:szCs w:val="20"/>
    </w:rPr>
  </w:style>
  <w:style w:type="paragraph" w:styleId="TOC1">
    <w:name w:val="toc 1"/>
    <w:basedOn w:val="Normal"/>
    <w:next w:val="Normal"/>
    <w:autoRedefine/>
    <w:uiPriority w:val="39"/>
    <w:unhideWhenUsed/>
    <w:rsid w:val="0067210B"/>
    <w:pPr>
      <w:tabs>
        <w:tab w:val="left" w:pos="450"/>
        <w:tab w:val="right" w:leader="dot" w:pos="8640"/>
      </w:tabs>
      <w:spacing w:after="100"/>
      <w:ind w:left="450" w:hanging="450"/>
    </w:pPr>
    <w:rPr>
      <w:szCs w:val="20"/>
    </w:rPr>
  </w:style>
  <w:style w:type="character" w:styleId="Hyperlink">
    <w:name w:val="Hyperlink"/>
    <w:basedOn w:val="DefaultParagraphFont"/>
    <w:uiPriority w:val="99"/>
    <w:unhideWhenUsed/>
    <w:rsid w:val="0067210B"/>
    <w:rPr>
      <w:color w:val="0563C1" w:themeColor="hyperlink"/>
      <w:u w:val="single"/>
    </w:rPr>
  </w:style>
  <w:style w:type="table" w:styleId="LightShading">
    <w:name w:val="Light Shading"/>
    <w:basedOn w:val="TableNormal"/>
    <w:uiPriority w:val="60"/>
    <w:rsid w:val="0067210B"/>
    <w:pPr>
      <w:spacing w:after="0" w:line="240" w:lineRule="auto"/>
    </w:pPr>
    <w:rPr>
      <w:rFonts w:ascii="Times New Roman" w:eastAsia="Times New Roman" w:hAnsi="Times New Roman" w:cs="Times New Roman"/>
      <w:color w:val="000000" w:themeColor="text1" w:themeShade="BF"/>
      <w:sz w:val="20"/>
      <w:szCs w:val="20"/>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TOC2">
    <w:name w:val="toc 2"/>
    <w:basedOn w:val="Normal"/>
    <w:next w:val="Normal"/>
    <w:autoRedefine/>
    <w:uiPriority w:val="39"/>
    <w:unhideWhenUsed/>
    <w:rsid w:val="0067210B"/>
    <w:pPr>
      <w:tabs>
        <w:tab w:val="left" w:pos="660"/>
        <w:tab w:val="right" w:pos="8640"/>
      </w:tabs>
      <w:spacing w:after="100"/>
    </w:pPr>
    <w:rPr>
      <w:szCs w:val="20"/>
    </w:rPr>
  </w:style>
  <w:style w:type="paragraph" w:styleId="TOC3">
    <w:name w:val="toc 3"/>
    <w:basedOn w:val="Normal"/>
    <w:next w:val="Normal"/>
    <w:autoRedefine/>
    <w:uiPriority w:val="39"/>
    <w:unhideWhenUsed/>
    <w:rsid w:val="0067210B"/>
    <w:pPr>
      <w:spacing w:after="100"/>
      <w:ind w:left="440"/>
    </w:pPr>
    <w:rPr>
      <w:szCs w:val="20"/>
    </w:rPr>
  </w:style>
  <w:style w:type="paragraph" w:styleId="TOC4">
    <w:name w:val="toc 4"/>
    <w:basedOn w:val="Normal"/>
    <w:next w:val="Normal"/>
    <w:autoRedefine/>
    <w:uiPriority w:val="39"/>
    <w:unhideWhenUsed/>
    <w:rsid w:val="0067210B"/>
    <w:pPr>
      <w:spacing w:after="100" w:line="259" w:lineRule="auto"/>
      <w:ind w:left="660"/>
      <w:jc w:val="left"/>
    </w:pPr>
    <w:rPr>
      <w:rFonts w:asciiTheme="minorHAnsi" w:eastAsiaTheme="minorEastAsia" w:hAnsiTheme="minorHAnsi" w:cstheme="minorBidi"/>
    </w:rPr>
  </w:style>
  <w:style w:type="paragraph" w:styleId="TOC5">
    <w:name w:val="toc 5"/>
    <w:basedOn w:val="Normal"/>
    <w:next w:val="Normal"/>
    <w:autoRedefine/>
    <w:uiPriority w:val="39"/>
    <w:unhideWhenUsed/>
    <w:rsid w:val="0067210B"/>
    <w:pPr>
      <w:spacing w:after="100" w:line="259" w:lineRule="auto"/>
      <w:ind w:left="880"/>
      <w:jc w:val="left"/>
    </w:pPr>
    <w:rPr>
      <w:rFonts w:asciiTheme="minorHAnsi" w:eastAsiaTheme="minorEastAsia" w:hAnsiTheme="minorHAnsi" w:cstheme="minorBidi"/>
    </w:rPr>
  </w:style>
  <w:style w:type="paragraph" w:styleId="TOC6">
    <w:name w:val="toc 6"/>
    <w:basedOn w:val="Normal"/>
    <w:next w:val="Normal"/>
    <w:autoRedefine/>
    <w:uiPriority w:val="39"/>
    <w:unhideWhenUsed/>
    <w:rsid w:val="0067210B"/>
    <w:pPr>
      <w:spacing w:after="100" w:line="259" w:lineRule="auto"/>
      <w:ind w:left="1100"/>
      <w:jc w:val="left"/>
    </w:pPr>
    <w:rPr>
      <w:rFonts w:asciiTheme="minorHAnsi" w:eastAsiaTheme="minorEastAsia" w:hAnsiTheme="minorHAnsi" w:cstheme="minorBidi"/>
    </w:rPr>
  </w:style>
  <w:style w:type="paragraph" w:styleId="TOC7">
    <w:name w:val="toc 7"/>
    <w:basedOn w:val="Normal"/>
    <w:next w:val="Normal"/>
    <w:autoRedefine/>
    <w:uiPriority w:val="39"/>
    <w:unhideWhenUsed/>
    <w:rsid w:val="0067210B"/>
    <w:pPr>
      <w:spacing w:after="100" w:line="259" w:lineRule="auto"/>
      <w:ind w:left="1320"/>
      <w:jc w:val="left"/>
    </w:pPr>
    <w:rPr>
      <w:rFonts w:asciiTheme="minorHAnsi" w:eastAsiaTheme="minorEastAsia" w:hAnsiTheme="minorHAnsi" w:cstheme="minorBidi"/>
    </w:rPr>
  </w:style>
  <w:style w:type="paragraph" w:styleId="TOC8">
    <w:name w:val="toc 8"/>
    <w:basedOn w:val="Normal"/>
    <w:next w:val="Normal"/>
    <w:autoRedefine/>
    <w:uiPriority w:val="39"/>
    <w:unhideWhenUsed/>
    <w:rsid w:val="0067210B"/>
    <w:pPr>
      <w:spacing w:after="100" w:line="259" w:lineRule="auto"/>
      <w:ind w:left="1540"/>
      <w:jc w:val="left"/>
    </w:pPr>
    <w:rPr>
      <w:rFonts w:asciiTheme="minorHAnsi" w:eastAsiaTheme="minorEastAsia" w:hAnsiTheme="minorHAnsi" w:cstheme="minorBidi"/>
    </w:rPr>
  </w:style>
  <w:style w:type="paragraph" w:styleId="TOC9">
    <w:name w:val="toc 9"/>
    <w:basedOn w:val="Normal"/>
    <w:next w:val="Normal"/>
    <w:autoRedefine/>
    <w:uiPriority w:val="39"/>
    <w:unhideWhenUsed/>
    <w:rsid w:val="0067210B"/>
    <w:pPr>
      <w:spacing w:after="100" w:line="259" w:lineRule="auto"/>
      <w:ind w:left="1760"/>
      <w:jc w:val="left"/>
    </w:pPr>
    <w:rPr>
      <w:rFonts w:asciiTheme="minorHAnsi" w:eastAsiaTheme="minorEastAsia" w:hAnsiTheme="minorHAnsi" w:cstheme="minorBidi"/>
    </w:rPr>
  </w:style>
  <w:style w:type="paragraph" w:styleId="BodyText">
    <w:name w:val="Body Text"/>
    <w:basedOn w:val="Normal"/>
    <w:link w:val="BodyTextChar"/>
    <w:rsid w:val="0067210B"/>
    <w:pPr>
      <w:spacing w:before="40" w:after="0"/>
      <w:jc w:val="left"/>
    </w:pPr>
    <w:rPr>
      <w:sz w:val="16"/>
      <w:szCs w:val="20"/>
    </w:rPr>
  </w:style>
  <w:style w:type="character" w:customStyle="1" w:styleId="BodyTextChar">
    <w:name w:val="Body Text Char"/>
    <w:basedOn w:val="DefaultParagraphFont"/>
    <w:link w:val="BodyText"/>
    <w:rsid w:val="0067210B"/>
    <w:rPr>
      <w:rFonts w:ascii="Times New Roman" w:eastAsia="Times New Roman" w:hAnsi="Times New Roman" w:cs="Times New Roman"/>
      <w:sz w:val="16"/>
      <w:szCs w:val="20"/>
    </w:rPr>
  </w:style>
  <w:style w:type="character" w:styleId="PlaceholderText">
    <w:name w:val="Placeholder Text"/>
    <w:basedOn w:val="DefaultParagraphFont"/>
    <w:uiPriority w:val="99"/>
    <w:semiHidden/>
    <w:rsid w:val="0067210B"/>
    <w:rPr>
      <w:color w:val="808080"/>
    </w:rPr>
  </w:style>
  <w:style w:type="paragraph" w:styleId="Title">
    <w:name w:val="Title"/>
    <w:basedOn w:val="Normal"/>
    <w:next w:val="Normal"/>
    <w:link w:val="TitleChar"/>
    <w:uiPriority w:val="10"/>
    <w:qFormat/>
    <w:rsid w:val="0067210B"/>
    <w:pPr>
      <w:spacing w:after="0"/>
      <w:contextualSpacing/>
      <w:jc w:val="center"/>
    </w:pPr>
    <w:rPr>
      <w:rFonts w:asciiTheme="majorHAnsi" w:eastAsiaTheme="majorEastAsia" w:hAnsiTheme="majorHAnsi" w:cstheme="majorBidi"/>
      <w:spacing w:val="-10"/>
      <w:kern w:val="28"/>
      <w:sz w:val="96"/>
      <w:szCs w:val="56"/>
    </w:rPr>
  </w:style>
  <w:style w:type="character" w:customStyle="1" w:styleId="TitleChar">
    <w:name w:val="Title Char"/>
    <w:basedOn w:val="DefaultParagraphFont"/>
    <w:link w:val="Title"/>
    <w:uiPriority w:val="10"/>
    <w:rsid w:val="0067210B"/>
    <w:rPr>
      <w:rFonts w:asciiTheme="majorHAnsi" w:eastAsiaTheme="majorEastAsia" w:hAnsiTheme="majorHAnsi" w:cstheme="majorBidi"/>
      <w:spacing w:val="-10"/>
      <w:kern w:val="28"/>
      <w:sz w:val="96"/>
      <w:szCs w:val="56"/>
    </w:rPr>
  </w:style>
  <w:style w:type="paragraph" w:styleId="Subtitle">
    <w:name w:val="Subtitle"/>
    <w:basedOn w:val="Normal"/>
    <w:next w:val="Normal"/>
    <w:link w:val="SubtitleChar"/>
    <w:uiPriority w:val="11"/>
    <w:qFormat/>
    <w:rsid w:val="0067210B"/>
    <w:pPr>
      <w:numPr>
        <w:ilvl w:val="1"/>
      </w:numPr>
      <w:spacing w:before="2160" w:after="160"/>
      <w:jc w:val="center"/>
    </w:pPr>
    <w:rPr>
      <w:rFonts w:asciiTheme="minorHAnsi" w:eastAsiaTheme="minorEastAsia" w:hAnsiTheme="minorHAnsi" w:cstheme="minorBidi"/>
      <w:color w:val="5A5A5A" w:themeColor="text1" w:themeTint="A5"/>
      <w:spacing w:val="15"/>
      <w:sz w:val="72"/>
    </w:rPr>
  </w:style>
  <w:style w:type="character" w:customStyle="1" w:styleId="SubtitleChar">
    <w:name w:val="Subtitle Char"/>
    <w:basedOn w:val="DefaultParagraphFont"/>
    <w:link w:val="Subtitle"/>
    <w:uiPriority w:val="11"/>
    <w:rsid w:val="0067210B"/>
    <w:rPr>
      <w:rFonts w:eastAsiaTheme="minorEastAsia"/>
      <w:color w:val="5A5A5A" w:themeColor="text1" w:themeTint="A5"/>
      <w:spacing w:val="15"/>
      <w:sz w:val="72"/>
    </w:rPr>
  </w:style>
  <w:style w:type="character" w:styleId="UnresolvedMention">
    <w:name w:val="Unresolved Mention"/>
    <w:basedOn w:val="DefaultParagraphFont"/>
    <w:uiPriority w:val="99"/>
    <w:semiHidden/>
    <w:unhideWhenUsed/>
    <w:rsid w:val="0067210B"/>
    <w:rPr>
      <w:color w:val="605E5C"/>
      <w:shd w:val="clear" w:color="auto" w:fill="E1DFDD"/>
    </w:rPr>
  </w:style>
  <w:style w:type="paragraph" w:customStyle="1" w:styleId="SpecAuthor">
    <w:name w:val="Spec Author"/>
    <w:basedOn w:val="Subtitle"/>
    <w:link w:val="SpecAuthorChar"/>
    <w:qFormat/>
    <w:rsid w:val="0067210B"/>
    <w:rPr>
      <w:sz w:val="52"/>
    </w:rPr>
  </w:style>
  <w:style w:type="character" w:customStyle="1" w:styleId="SpecAuthorChar">
    <w:name w:val="Spec Author Char"/>
    <w:basedOn w:val="SubtitleChar"/>
    <w:link w:val="SpecAuthor"/>
    <w:rsid w:val="0067210B"/>
    <w:rPr>
      <w:rFonts w:eastAsiaTheme="minorEastAsia"/>
      <w:color w:val="5A5A5A" w:themeColor="text1" w:themeTint="A5"/>
      <w:spacing w:val="15"/>
      <w:sz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Ferracin@lbl.gov" TargetMode="External"/><Relationship Id="rId13" Type="http://schemas.openxmlformats.org/officeDocument/2006/relationships/image" Target="media/image2.wmf"/><Relationship Id="rId3" Type="http://schemas.openxmlformats.org/officeDocument/2006/relationships/styles" Target="styles.xml"/><Relationship Id="rId7" Type="http://schemas.openxmlformats.org/officeDocument/2006/relationships/hyperlink" Target="mailto:darbelaez@lbl.gov" TargetMode="External"/><Relationship Id="rId12" Type="http://schemas.openxmlformats.org/officeDocument/2006/relationships/image" Target="media/image10.w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mailto:ipong@lbl.gov" TargetMode="External"/><Relationship Id="rId11" Type="http://schemas.openxmlformats.org/officeDocument/2006/relationships/image" Target="media/image1.w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glsabbi@lbl.gov" TargetMode="External"/><Relationship Id="rId4" Type="http://schemas.openxmlformats.org/officeDocument/2006/relationships/settings" Target="settings.xml"/><Relationship Id="rId9" Type="http://schemas.openxmlformats.org/officeDocument/2006/relationships/hyperlink" Target="mailto:GLSabbi@lbl.gov" TargetMode="External"/><Relationship Id="rId14" Type="http://schemas.openxmlformats.org/officeDocument/2006/relationships/image" Target="media/image20.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ADF23D-2EF5-4811-95B1-2C7929F81F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14</Pages>
  <Words>4134</Words>
  <Characters>23566</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Pong</dc:creator>
  <cp:keywords/>
  <dc:description/>
  <cp:lastModifiedBy>Ian Pong</cp:lastModifiedBy>
  <cp:revision>3</cp:revision>
  <dcterms:created xsi:type="dcterms:W3CDTF">2021-05-25T04:29:00Z</dcterms:created>
  <dcterms:modified xsi:type="dcterms:W3CDTF">2021-05-25T04:37:00Z</dcterms:modified>
</cp:coreProperties>
</file>